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EE71BF" w14:paraId="05A2353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801C4AD" w14:textId="77777777" w:rsidR="00EE71BF" w:rsidRPr="0053579C" w:rsidRDefault="00EE71BF">
            <w:pPr>
              <w:spacing w:before="120"/>
              <w:rPr>
                <w:b/>
                <w:sz w:val="24"/>
                <w:szCs w:val="24"/>
              </w:rPr>
            </w:pPr>
            <w:r w:rsidRPr="00A619E5">
              <w:rPr>
                <w:b/>
                <w:noProof/>
                <w:sz w:val="24"/>
                <w:szCs w:val="24"/>
              </w:rPr>
              <w:t>SD19A/0138</w:t>
            </w:r>
          </w:p>
        </w:tc>
        <w:tc>
          <w:tcPr>
            <w:tcW w:w="5062" w:type="dxa"/>
            <w:gridSpan w:val="2"/>
          </w:tcPr>
          <w:p w14:paraId="46E2CB68" w14:textId="77777777" w:rsidR="00EE71BF" w:rsidRPr="0053579C" w:rsidRDefault="00EE71BF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EE71BF" w14:paraId="4D285FFA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AE0500E" w14:textId="77777777" w:rsidR="00EE71BF" w:rsidRPr="0053579C" w:rsidRDefault="00EE71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4A6BF117" w14:textId="77777777" w:rsidR="00EE71BF" w:rsidRPr="0053579C" w:rsidRDefault="00EE71BF">
            <w:pPr>
              <w:spacing w:before="120"/>
              <w:rPr>
                <w:sz w:val="24"/>
                <w:szCs w:val="24"/>
              </w:rPr>
            </w:pPr>
            <w:r w:rsidRPr="00A619E5">
              <w:rPr>
                <w:b/>
                <w:noProof/>
                <w:sz w:val="24"/>
                <w:szCs w:val="24"/>
              </w:rPr>
              <w:t>ABP-306617-20</w:t>
            </w:r>
          </w:p>
        </w:tc>
        <w:tc>
          <w:tcPr>
            <w:tcW w:w="243" w:type="dxa"/>
          </w:tcPr>
          <w:p w14:paraId="2A0CEE8D" w14:textId="77777777" w:rsidR="00EE71BF" w:rsidRPr="0053579C" w:rsidRDefault="00EE71BF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EE71BF" w14:paraId="708482A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0F6E1F9" w14:textId="77777777" w:rsidR="00EE71BF" w:rsidRPr="0053579C" w:rsidRDefault="00EE71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3A47D35E" w14:textId="77777777" w:rsidR="00EE71BF" w:rsidRPr="0053579C" w:rsidRDefault="00EE71BF">
            <w:pPr>
              <w:spacing w:before="120"/>
              <w:rPr>
                <w:sz w:val="24"/>
                <w:szCs w:val="24"/>
              </w:rPr>
            </w:pPr>
            <w:r w:rsidRPr="00A619E5">
              <w:rPr>
                <w:noProof/>
                <w:sz w:val="24"/>
                <w:szCs w:val="24"/>
              </w:rPr>
              <w:t>09-Sep-2020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EE71BF" w14:paraId="6F7ACF7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6963CA2" w14:textId="77777777" w:rsidR="00EE71BF" w:rsidRPr="0053579C" w:rsidRDefault="00EE71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6CA0CA39" w14:textId="77777777" w:rsidR="00EE71BF" w:rsidRPr="0053579C" w:rsidRDefault="00EE71B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A619E5">
              <w:rPr>
                <w:noProof/>
                <w:sz w:val="24"/>
                <w:szCs w:val="24"/>
              </w:rPr>
              <w:t>3RD PARTY</w:t>
            </w:r>
          </w:p>
        </w:tc>
      </w:tr>
      <w:tr w:rsidR="00EE71BF" w14:paraId="091D781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575CB4A" w14:textId="77777777" w:rsidR="00EE71BF" w:rsidRPr="0053579C" w:rsidRDefault="00EE71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2304C59A" w14:textId="77777777" w:rsidR="00EE71BF" w:rsidRPr="0053579C" w:rsidRDefault="00EE71BF">
            <w:pPr>
              <w:spacing w:before="120"/>
              <w:rPr>
                <w:b/>
                <w:sz w:val="24"/>
                <w:szCs w:val="24"/>
              </w:rPr>
            </w:pPr>
            <w:r w:rsidRPr="00A619E5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EE71BF" w14:paraId="54F0DB7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A95E233" w14:textId="77777777" w:rsidR="00EE71BF" w:rsidRPr="0053579C" w:rsidRDefault="00EE71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7313AD6B" w14:textId="77777777" w:rsidR="00EE71BF" w:rsidRPr="0053579C" w:rsidRDefault="00EE71BF">
            <w:pPr>
              <w:spacing w:before="120"/>
              <w:rPr>
                <w:sz w:val="24"/>
                <w:szCs w:val="24"/>
              </w:rPr>
            </w:pPr>
            <w:r w:rsidRPr="00A619E5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EE71BF" w14:paraId="3534560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720D008" w14:textId="77777777" w:rsidR="00EE71BF" w:rsidRPr="0053579C" w:rsidRDefault="00EE71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00D98E4A" w14:textId="77777777" w:rsidR="00EE71BF" w:rsidRPr="0053579C" w:rsidRDefault="00EE71BF">
            <w:pPr>
              <w:spacing w:before="120"/>
              <w:rPr>
                <w:sz w:val="24"/>
                <w:szCs w:val="24"/>
              </w:rPr>
            </w:pPr>
            <w:r w:rsidRPr="00A619E5">
              <w:rPr>
                <w:noProof/>
                <w:sz w:val="24"/>
                <w:szCs w:val="24"/>
              </w:rPr>
              <w:t>Capami Ltd.</w:t>
            </w:r>
          </w:p>
        </w:tc>
      </w:tr>
      <w:tr w:rsidR="00EE71BF" w14:paraId="41E4FD9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3D4CCF1" w14:textId="77777777" w:rsidR="00EE71BF" w:rsidRPr="0053579C" w:rsidRDefault="00EE71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05C717B4" w14:textId="77777777" w:rsidR="00EE71BF" w:rsidRPr="0053579C" w:rsidRDefault="00EE71BF">
            <w:pPr>
              <w:spacing w:before="120"/>
              <w:rPr>
                <w:sz w:val="24"/>
                <w:szCs w:val="24"/>
              </w:rPr>
            </w:pPr>
            <w:r w:rsidRPr="00A619E5">
              <w:rPr>
                <w:noProof/>
                <w:sz w:val="24"/>
                <w:szCs w:val="24"/>
              </w:rPr>
              <w:t>Site east of Bohernabreena Road &amp; south of Oldcourt Road, Bohernabreena, Dublin 24</w:t>
            </w:r>
          </w:p>
        </w:tc>
      </w:tr>
      <w:tr w:rsidR="00EE71BF" w14:paraId="6C4A2EF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8E0631B" w14:textId="77777777" w:rsidR="00EE71BF" w:rsidRPr="0053579C" w:rsidRDefault="00EE71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2346C040" w14:textId="77777777" w:rsidR="00EE71BF" w:rsidRPr="0053579C" w:rsidRDefault="00EE71BF">
            <w:pPr>
              <w:spacing w:before="120"/>
              <w:rPr>
                <w:sz w:val="24"/>
                <w:szCs w:val="24"/>
              </w:rPr>
            </w:pPr>
            <w:r w:rsidRPr="00A619E5">
              <w:rPr>
                <w:noProof/>
                <w:sz w:val="24"/>
                <w:szCs w:val="24"/>
              </w:rPr>
              <w:t>Residential development of 52 dwellings on a site measuring 2.66 hectares within the lands designated for the Ballycullen/Oldcourt Local Area Plan 2014 (as amended) comprising: 1 three storey, 4 bed detached house; 1 two storey, three bed detached house; 32 two and three storey three and four bed, semi-detached houses; 18 one and two bed apartment units in 1 three storey apartment block; access will be via the previously permitted Main Link Street under Ref. SD17A/0041 &amp; PL06S.249367 which includes permitted access off Bohernabreena Road; all associated site development works; car parking; open spaces; landscaping etc.</w:t>
            </w:r>
          </w:p>
        </w:tc>
      </w:tr>
    </w:tbl>
    <w:p w14:paraId="74F994A5" w14:textId="77777777" w:rsidR="00EE71BF" w:rsidRDefault="00EE71BF">
      <w:pPr>
        <w:pBdr>
          <w:bottom w:val="single" w:sz="12" w:space="1" w:color="auto"/>
        </w:pBdr>
      </w:pPr>
    </w:p>
    <w:p w14:paraId="25C87E25" w14:textId="77777777" w:rsidR="00EE71BF" w:rsidRDefault="00EE71BF"/>
    <w:sectPr w:rsidR="00EE71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2C0A1" w14:textId="77777777" w:rsidR="00EE71BF" w:rsidRDefault="00EE71BF">
      <w:r>
        <w:separator/>
      </w:r>
    </w:p>
  </w:endnote>
  <w:endnote w:type="continuationSeparator" w:id="0">
    <w:p w14:paraId="4CE79177" w14:textId="77777777" w:rsidR="00EE71BF" w:rsidRDefault="00EE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6E9B0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7C965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7D4F9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C2331" w14:textId="77777777" w:rsidR="00EE71BF" w:rsidRDefault="00EE71BF">
      <w:r>
        <w:separator/>
      </w:r>
    </w:p>
  </w:footnote>
  <w:footnote w:type="continuationSeparator" w:id="0">
    <w:p w14:paraId="586A0436" w14:textId="77777777" w:rsidR="00EE71BF" w:rsidRDefault="00EE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A1ABF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3199D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533A5EA5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014DCC24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09D3FA5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CEC36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125F09"/>
    <w:rsid w:val="0053579C"/>
    <w:rsid w:val="00847C90"/>
    <w:rsid w:val="00EE71BF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10C31"/>
  <w15:chartTrackingRefBased/>
  <w15:docId w15:val="{A5AD26B5-E4F0-4239-B21F-FCE085B8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2020-09-16T10:34:00Z</dcterms:created>
  <dcterms:modified xsi:type="dcterms:W3CDTF">2020-09-16T10:34:00Z</dcterms:modified>
</cp:coreProperties>
</file>