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6E361A" w14:paraId="530F0C3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F3EA289" w14:textId="77777777" w:rsidR="006E361A" w:rsidRPr="0053579C" w:rsidRDefault="006E361A">
            <w:pPr>
              <w:spacing w:before="120"/>
              <w:rPr>
                <w:b/>
                <w:sz w:val="24"/>
                <w:szCs w:val="24"/>
              </w:rPr>
            </w:pPr>
            <w:r w:rsidRPr="00E6683C">
              <w:rPr>
                <w:b/>
                <w:noProof/>
                <w:sz w:val="24"/>
                <w:szCs w:val="24"/>
              </w:rPr>
              <w:t>SD18B/0535</w:t>
            </w:r>
          </w:p>
        </w:tc>
        <w:tc>
          <w:tcPr>
            <w:tcW w:w="5062" w:type="dxa"/>
            <w:gridSpan w:val="2"/>
          </w:tcPr>
          <w:p w14:paraId="00EE5A69" w14:textId="77777777" w:rsidR="006E361A" w:rsidRPr="0053579C" w:rsidRDefault="006E361A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6E361A" w14:paraId="71FA7F3F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0353876D" w14:textId="77777777" w:rsidR="006E361A" w:rsidRPr="0053579C" w:rsidRDefault="006E361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367F1473" w14:textId="77777777" w:rsidR="006E361A" w:rsidRPr="0053579C" w:rsidRDefault="006E361A">
            <w:pPr>
              <w:spacing w:before="120"/>
              <w:rPr>
                <w:sz w:val="24"/>
                <w:szCs w:val="24"/>
              </w:rPr>
            </w:pPr>
            <w:r w:rsidRPr="00E6683C">
              <w:rPr>
                <w:b/>
                <w:noProof/>
                <w:sz w:val="24"/>
                <w:szCs w:val="24"/>
              </w:rPr>
              <w:t>ABP-305588-19</w:t>
            </w:r>
          </w:p>
        </w:tc>
        <w:tc>
          <w:tcPr>
            <w:tcW w:w="243" w:type="dxa"/>
          </w:tcPr>
          <w:p w14:paraId="44404DEE" w14:textId="77777777" w:rsidR="006E361A" w:rsidRPr="0053579C" w:rsidRDefault="006E361A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6E361A" w14:paraId="7A2CFB5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1F08149" w14:textId="77777777" w:rsidR="006E361A" w:rsidRPr="0053579C" w:rsidRDefault="006E361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729C887C" w14:textId="77777777" w:rsidR="006E361A" w:rsidRPr="0053579C" w:rsidRDefault="006E361A">
            <w:pPr>
              <w:spacing w:before="120"/>
              <w:rPr>
                <w:sz w:val="24"/>
                <w:szCs w:val="24"/>
              </w:rPr>
            </w:pPr>
            <w:r w:rsidRPr="00E6683C">
              <w:rPr>
                <w:noProof/>
                <w:sz w:val="24"/>
                <w:szCs w:val="24"/>
              </w:rPr>
              <w:t>28-May-2020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6E361A" w14:paraId="24C40C6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AB4754E" w14:textId="77777777" w:rsidR="006E361A" w:rsidRPr="0053579C" w:rsidRDefault="006E361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68050CAC" w14:textId="77777777" w:rsidR="006E361A" w:rsidRPr="0053579C" w:rsidRDefault="006E361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E6683C">
              <w:rPr>
                <w:noProof/>
                <w:sz w:val="24"/>
                <w:szCs w:val="24"/>
              </w:rPr>
              <w:t>3RD PARTY</w:t>
            </w:r>
          </w:p>
        </w:tc>
      </w:tr>
      <w:tr w:rsidR="006E361A" w14:paraId="4CA25CD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01DD206" w14:textId="77777777" w:rsidR="006E361A" w:rsidRPr="0053579C" w:rsidRDefault="006E361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630EDF88" w14:textId="77777777" w:rsidR="006E361A" w:rsidRPr="0053579C" w:rsidRDefault="006E361A">
            <w:pPr>
              <w:spacing w:before="120"/>
              <w:rPr>
                <w:b/>
                <w:sz w:val="24"/>
                <w:szCs w:val="24"/>
              </w:rPr>
            </w:pPr>
            <w:r w:rsidRPr="00E6683C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6E361A" w14:paraId="19867D9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BCF93CC" w14:textId="77777777" w:rsidR="006E361A" w:rsidRPr="0053579C" w:rsidRDefault="006E361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3565B2BB" w14:textId="77777777" w:rsidR="006E361A" w:rsidRPr="0053579C" w:rsidRDefault="006E361A">
            <w:pPr>
              <w:spacing w:before="120"/>
              <w:rPr>
                <w:sz w:val="24"/>
                <w:szCs w:val="24"/>
              </w:rPr>
            </w:pPr>
            <w:r w:rsidRPr="00E6683C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6E361A" w14:paraId="2E0B8B6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78BB7AE" w14:textId="77777777" w:rsidR="006E361A" w:rsidRPr="0053579C" w:rsidRDefault="006E361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26127B29" w14:textId="77777777" w:rsidR="006E361A" w:rsidRPr="0053579C" w:rsidRDefault="006E361A">
            <w:pPr>
              <w:spacing w:before="120"/>
              <w:rPr>
                <w:sz w:val="24"/>
                <w:szCs w:val="24"/>
              </w:rPr>
            </w:pPr>
            <w:r w:rsidRPr="00E6683C">
              <w:rPr>
                <w:noProof/>
                <w:sz w:val="24"/>
                <w:szCs w:val="24"/>
              </w:rPr>
              <w:t>Killian Casey &amp; Emer Duffy</w:t>
            </w:r>
          </w:p>
        </w:tc>
      </w:tr>
      <w:tr w:rsidR="006E361A" w14:paraId="778F036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BF05234" w14:textId="77777777" w:rsidR="006E361A" w:rsidRPr="0053579C" w:rsidRDefault="006E361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1D8E4F90" w14:textId="77777777" w:rsidR="006E361A" w:rsidRPr="0053579C" w:rsidRDefault="006E361A">
            <w:pPr>
              <w:spacing w:before="120"/>
              <w:rPr>
                <w:sz w:val="24"/>
                <w:szCs w:val="24"/>
              </w:rPr>
            </w:pPr>
            <w:r w:rsidRPr="00E6683C">
              <w:rPr>
                <w:noProof/>
                <w:sz w:val="24"/>
                <w:szCs w:val="24"/>
              </w:rPr>
              <w:t>The Millhouse, Whitechurch Road, Rathfarnham, Dublin 14.</w:t>
            </w:r>
          </w:p>
        </w:tc>
      </w:tr>
      <w:tr w:rsidR="006E361A" w14:paraId="07AED8B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4827A2F" w14:textId="77777777" w:rsidR="006E361A" w:rsidRPr="0053579C" w:rsidRDefault="006E361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5C9628FA" w14:textId="77777777" w:rsidR="006E361A" w:rsidRPr="0053579C" w:rsidRDefault="006E361A">
            <w:pPr>
              <w:spacing w:before="120"/>
              <w:rPr>
                <w:sz w:val="24"/>
                <w:szCs w:val="24"/>
              </w:rPr>
            </w:pPr>
            <w:r w:rsidRPr="00E6683C">
              <w:rPr>
                <w:noProof/>
                <w:sz w:val="24"/>
                <w:szCs w:val="24"/>
              </w:rPr>
              <w:t>Construction of vehicular entrance to the curtilage of a Protected Structure to accommodate 3 car spaces on a paved surface that shall abutt directly onto the public realm; provision of pedestrian entrance and path to the back of the spaces, to access the period house directly; erection of a 2m high boundary metal fence and 1m hedge screening along the boundary facing St. Patricks Cottages replacing the existing chain-link fence.</w:t>
            </w:r>
          </w:p>
        </w:tc>
      </w:tr>
    </w:tbl>
    <w:p w14:paraId="59BD7CF0" w14:textId="77777777" w:rsidR="006E361A" w:rsidRDefault="006E361A">
      <w:pPr>
        <w:pBdr>
          <w:bottom w:val="single" w:sz="12" w:space="1" w:color="auto"/>
        </w:pBdr>
      </w:pPr>
    </w:p>
    <w:p w14:paraId="556ED874" w14:textId="77777777" w:rsidR="006E361A" w:rsidRDefault="006E361A"/>
    <w:sectPr w:rsidR="006E36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3C732" w14:textId="77777777" w:rsidR="006E361A" w:rsidRDefault="006E361A">
      <w:r>
        <w:separator/>
      </w:r>
    </w:p>
  </w:endnote>
  <w:endnote w:type="continuationSeparator" w:id="0">
    <w:p w14:paraId="520143AC" w14:textId="77777777" w:rsidR="006E361A" w:rsidRDefault="006E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1E2FD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B1020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02DF8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2CF1B" w14:textId="77777777" w:rsidR="006E361A" w:rsidRDefault="006E361A">
      <w:r>
        <w:separator/>
      </w:r>
    </w:p>
  </w:footnote>
  <w:footnote w:type="continuationSeparator" w:id="0">
    <w:p w14:paraId="559AE85E" w14:textId="77777777" w:rsidR="006E361A" w:rsidRDefault="006E3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9B019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A3A02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58004FFB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1F092BF9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DE8B67D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009E6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53579C"/>
    <w:rsid w:val="006E361A"/>
    <w:rsid w:val="00847C90"/>
    <w:rsid w:val="00E17EEA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BC5655"/>
  <w15:chartTrackingRefBased/>
  <w15:docId w15:val="{2A2E5E2C-FF6D-47D5-B0A5-1D831600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2020-06-03T11:13:00Z</dcterms:created>
  <dcterms:modified xsi:type="dcterms:W3CDTF">2020-06-03T11:13:00Z</dcterms:modified>
</cp:coreProperties>
</file>