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ayout w:type="fixed"/>
        <w:tblLook w:val="0000" w:firstRow="0" w:lastRow="0" w:firstColumn="0" w:lastColumn="0" w:noHBand="0" w:noVBand="0"/>
      </w:tblPr>
      <w:tblGrid>
        <w:gridCol w:w="1951"/>
        <w:gridCol w:w="2126"/>
        <w:gridCol w:w="5736"/>
      </w:tblGrid>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SD14B/0053/EP</w:t>
            </w:r>
          </w:p>
        </w:tc>
        <w:tc>
          <w:tcPr>
            <w:tcW w:w="2126" w:type="dxa"/>
          </w:tcPr>
          <w:p w:rsidR="00464264" w:rsidRDefault="00464264">
            <w:pPr>
              <w:tabs>
                <w:tab w:val="left" w:pos="1985"/>
                <w:tab w:val="left" w:pos="4536"/>
              </w:tabs>
              <w:rPr>
                <w:b/>
                <w:sz w:val="22"/>
              </w:rPr>
            </w:pPr>
            <w:r w:rsidRPr="008D5FD3">
              <w:rPr>
                <w:b/>
                <w:noProof/>
                <w:sz w:val="22"/>
              </w:rPr>
              <w:t>GRANT EXTENSION OF DURATION OF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22-May-2019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Sarah Reynolds &amp; Michael Wrafter</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'Porfin', Irishtown, Old Lucan Road, Palmerstown, Dublin 20.</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Pr="008D5FD3" w:rsidRDefault="00464264" w:rsidP="00CA5A8C">
            <w:pPr>
              <w:jc w:val="both"/>
              <w:rPr>
                <w:rFonts w:ascii="Arial Narrow" w:hAnsi="Arial Narrow"/>
                <w:noProof/>
                <w:sz w:val="22"/>
              </w:rPr>
            </w:pPr>
            <w:r w:rsidRPr="008D5FD3">
              <w:rPr>
                <w:rFonts w:ascii="Arial Narrow" w:hAnsi="Arial Narrow"/>
                <w:noProof/>
                <w:sz w:val="22"/>
              </w:rPr>
              <w:t>Construction of a 37sq.m. ground floor kitchen to the rear of existing house with a lean-to roof to exceed height of existing roofline; 75sq.m. bedroom extension at the front and side at first floor level over the existing flat roofed house; new tiled pitched roof over first floor extension and a new lean to roof onto existing garage.</w:t>
            </w:r>
          </w:p>
          <w:p w:rsidR="00464264" w:rsidRDefault="00464264">
            <w:pPr>
              <w:jc w:val="both"/>
              <w:rPr>
                <w:rFonts w:ascii="Arial Narrow" w:hAnsi="Arial Narrow"/>
                <w:sz w:val="22"/>
              </w:rPr>
            </w:pP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SD18A/0328</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22-May-2019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Bartra Property (NH) Ltd.</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Presentation Convent, Convent Road, Clondalkin, Dublin 22</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 xml:space="preserve">Nursing home building comprising 155 bedrooms and all associated ancillary accommodation (7741sq.m gross floor area) in a part three, part four storey building located on the lands to the south and west of the convent building; Retirement home building comprising 14 bedrooms and all associated ancillary accommodation (916sq.m gross floor area) in a two storey wing to the south east of the convent and internally connected to the nursing home; Internal alterations and improvements to part of the existing convent building (Protected Structure) at ground, first and second floor levels which is to be used for nursing home staff accommodation (1203.3sq.m); The internal reconfiguration and works proposed as part of this application to the remainder of the convent building include the following: (a) subdivision of convent chapel to provide quiet room (accessed from the adjacent church only) and a new kitchen dining area with the chapel; (b) adjustment, removal and addition of partitions, services and fittings to create ensuite bathroom facilities in 25 proposed bedrooms at ground, first and second floor levels; (c) internal works to facilitate use of rooms as communal living rooms and other ancillary uses; (d) sundry internal modifications, refurbishment and improvements to rooms and circulation areas, upgrading of flooring, walls and internal doors to meet fire regulations, draught proofing windows and improving window safety; (e) sundry refurbishment works to allow for conservation and repair of building fabric, roof finishes, structure and </w:t>
            </w:r>
            <w:r w:rsidRPr="008D5FD3">
              <w:rPr>
                <w:rFonts w:ascii="Arial Narrow" w:hAnsi="Arial Narrow"/>
                <w:noProof/>
                <w:sz w:val="22"/>
              </w:rPr>
              <w:lastRenderedPageBreak/>
              <w:t>retained fixtures; The existing parish offices and meeting rooms within the convent building are to be retained in their current use and no works are proposed to these rooms which are excluded from the current application; The development will be accessed via a vehicular and pedestrian entrances from New Road and will provide a total of 42 car parking spaces and 60 bicycle spaces; Existing vehicular entrances from New Road and Convent Road serving the church will be retained; Permission is also sought for the construction of a single storey detached substation and switch room (20.5sq.m) and 2 single storey detached store building (89.5sq.m), hard and soft landscaping, boundary treatment and all ancillary and associated site and development works; The development will also involve the demolition of existing substation and detached single storey ancillary store buildings (192.2sq.m).</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SD19A/0100</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Tempside Ltd.</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Unit 1, Elmfield Court, Ninth Lock Road, Clondalkin, Dublin 22</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Change of use for part of existing retail unit to Off-Licence sales area.</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SD19A/0102</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Choice Childcare &amp; Youth Services Newcastle</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The Old School House, Main Street Upper, Newcastle, Co. Dublin</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Upgrade and change of use from National School to Pre-School (daytime) and Children's Therapy (evening sessions) and Youth Services (weekends); front signage; internal alterations and all associated ancillary site works. The proposed development consists of work to a Protected Structure located within an Architectural Conservation Area.</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SD19B/0118</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Nina Fagan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25, Coolamber Court, Knocklyon, Dublin 16</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A ground floor extension to the front; entrance and canopy to the side elevation; off-street parking for 2 cars.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SD19B/0119</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Ciaran &amp; Claire Boylan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241, Orwell Park Lawns, Templeogue, Dublin 6w</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A part single storey and part two storey extension to the side of dwelling (including 'Velux' roof lights) along with the associated site development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SD19B/0120</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Martin &amp; Joanna Kilcoyne</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7, Cypress Avenue, Brookwood, Rathfarnham, Dublin 16</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First floor extension to rear of two storey, semi-detached dwelling comprising the extension of two bedrooms with hipped, pitched roof.</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SD19B/0121</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22-May-2019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Darragh Spain &amp; Jane Hogan Spain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120, Grange Road, Rathfarnham, Dublin 14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lastRenderedPageBreak/>
              <w:t>(A) Removal of chimney to the side of dwelling; (B) removal of shed at rear; (C) modifications to the fenestration; (D) single storey extension to existing playroom to the front; (e) porch and pitched roof over to the front; (F) single storey extension to the rear; (G) first floor extension to the side; (H)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SD19B/0123</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Stephen Hoey</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3, Watermill Grove, Old Bawn,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dormer attic to the rear with ensuite and all associated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SD19B/0124</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Vickie Mullen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48, Old Bawn Road, Tallaght,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slate clad pitched roof structure not exceeding 8.950m in height above ground level to cover existing flat roof, to include new dormer roof over stairwell with frosted window to attic landing level on north facing elevation; roof light over and 'Velux' window to front storage space on west facing elevation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SD19B/0125</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Vickie Mullen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50, Old Bawn Road, Tallaght,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 xml:space="preserve">Construction of slate clad pitched roof structure not exceeding 8.950m in height above ground level to cover existing flat roof, to include new dormer roof over stairwell with frosted window to attic landing level on </w:t>
            </w:r>
            <w:r w:rsidRPr="008D5FD3">
              <w:rPr>
                <w:rFonts w:ascii="Arial Narrow" w:hAnsi="Arial Narrow"/>
                <w:noProof/>
                <w:sz w:val="22"/>
              </w:rPr>
              <w:lastRenderedPageBreak/>
              <w:t>south facing elevation; roof light over and 'Velux' window to front storage space on west facing elevation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SD19B/0126</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Alan Fitzpatrick</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40, Old Bawn Road, Tallaght,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slate clad pitched roof structure not exceeding 8.950m in height above ground level to cover existing flat roof, to include new dormer roof over stairwell with frosted window to attic landing level on north facing elevation; roof light over and 'Velux' window to front storage space on west facing elevation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SD19B/0127</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Alan Fitzpatrick</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46, The Crescent, Millbrook Lawns, Tallaght,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slate clad pitched roof structure not exceeding 8.950m in height above ground level to cover existing flat roof, to include new dormer roof over stairwell with frosted window to attic landing level on south facing elevation; roof light over and 'Velux' window to front storage space on west facing elevation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SD19B/0129</w:t>
            </w:r>
          </w:p>
        </w:tc>
        <w:tc>
          <w:tcPr>
            <w:tcW w:w="2126" w:type="dxa"/>
          </w:tcPr>
          <w:p w:rsidR="00464264" w:rsidRDefault="00464264">
            <w:pPr>
              <w:tabs>
                <w:tab w:val="left" w:pos="1985"/>
                <w:tab w:val="left" w:pos="4536"/>
              </w:tabs>
              <w:rPr>
                <w:b/>
                <w:sz w:val="22"/>
              </w:rPr>
            </w:pPr>
            <w:r w:rsidRPr="008D5FD3">
              <w:rPr>
                <w:b/>
                <w:noProof/>
                <w:sz w:val="22"/>
              </w:rPr>
              <w:t>GRANT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David Muddiman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74, Broadfield Ave, Rathcoole, Co. Dublin</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Dormer extension to form new attic space and all ancillary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SD19A/0108</w:t>
            </w:r>
          </w:p>
        </w:tc>
        <w:tc>
          <w:tcPr>
            <w:tcW w:w="2126" w:type="dxa"/>
          </w:tcPr>
          <w:p w:rsidR="00464264" w:rsidRDefault="00464264">
            <w:pPr>
              <w:tabs>
                <w:tab w:val="left" w:pos="1985"/>
                <w:tab w:val="left" w:pos="4536"/>
              </w:tabs>
              <w:rPr>
                <w:b/>
                <w:sz w:val="22"/>
              </w:rPr>
            </w:pPr>
            <w:r w:rsidRPr="008D5FD3">
              <w:rPr>
                <w:b/>
                <w:noProof/>
                <w:sz w:val="22"/>
              </w:rPr>
              <w:t>GRANT PERMISSION FOR RETENTION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22-May-2019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Three Ireland (Hutchison) Ltd.</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Bawnogue Shopping Centre, Bawnogue Road, Clondalkin, Dublin 22</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Retention of 12 metre high rooftop telecommunications structure, antennas, dishes and associate equipment and cabinets.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SD19A/0105</w:t>
            </w:r>
          </w:p>
        </w:tc>
        <w:tc>
          <w:tcPr>
            <w:tcW w:w="2126" w:type="dxa"/>
          </w:tcPr>
          <w:p w:rsidR="00464264" w:rsidRDefault="00464264">
            <w:pPr>
              <w:tabs>
                <w:tab w:val="left" w:pos="1985"/>
                <w:tab w:val="left" w:pos="4536"/>
              </w:tabs>
              <w:rPr>
                <w:b/>
                <w:sz w:val="22"/>
              </w:rPr>
            </w:pPr>
            <w:r w:rsidRPr="008D5FD3">
              <w:rPr>
                <w:b/>
                <w:noProof/>
                <w:sz w:val="22"/>
              </w:rPr>
              <w:t>REFUSE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21-May-2019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Coill Avon Ltd.</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Coill Avon, Whitechurch Road, Rathfarnham, Dublin 16</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a residential development of 62 units: demolition of the existing house, Coill Avon, and the construction of 28 three bedroom, two storey terraced houses; 3 four bedroom, two storey with dormer end of terrace houses and 3 four bedroom, three storey end of terrace houses, ranging in size from 110sq.m to 178sq.m with in curtilage car parking and 9 visitor car parking spaces; 16 two bed apartments over four floors (Block A), 7 one bed apartments, 5 two bed apartments over three floors and one community room (Block  B) with 30 car parking spaces; bin store; secure bicycle parking; open space in two locations including woodland area of 1,795sq.m and a Green of 708sq.m; new boundary treatment; landscaping and all associated service provision including two substations and alterations to the shared access and vehicular bridge to Coill Avon and Lynbrook on a site of 1.76 hectares (1.6 hectares application site and balance 0.16 hectares includes a section of the public road to facilitate connection to the public foul drainage system).</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noProof/>
                <w:sz w:val="22"/>
              </w:rPr>
            </w:pPr>
            <w:r w:rsidRPr="008D5FD3">
              <w:rPr>
                <w:noProof/>
                <w:sz w:val="22"/>
              </w:rPr>
              <w:t xml:space="preserve">Direct Marketing </w:t>
            </w:r>
            <w:r>
              <w:rPr>
                <w:noProof/>
                <w:sz w:val="22"/>
              </w:rPr>
              <w:t>–</w:t>
            </w:r>
            <w:r w:rsidRPr="008D5FD3">
              <w:rPr>
                <w:noProof/>
                <w:sz w:val="22"/>
              </w:rPr>
              <w:t xml:space="preserve"> NO</w:t>
            </w:r>
          </w:p>
          <w:p w:rsidR="00F32370" w:rsidRDefault="00F32370">
            <w:pPr>
              <w:jc w:val="both"/>
              <w:rPr>
                <w:noProof/>
                <w:sz w:val="22"/>
              </w:rPr>
            </w:pPr>
          </w:p>
          <w:p w:rsidR="00F32370" w:rsidRDefault="00F32370">
            <w:pPr>
              <w:jc w:val="both"/>
              <w:rPr>
                <w:noProof/>
                <w:sz w:val="22"/>
              </w:rPr>
            </w:pPr>
          </w:p>
          <w:p w:rsidR="00F32370" w:rsidRDefault="00F32370">
            <w:pPr>
              <w:jc w:val="both"/>
              <w:rPr>
                <w:noProof/>
                <w:sz w:val="22"/>
              </w:rPr>
            </w:pPr>
          </w:p>
          <w:p w:rsidR="00F32370" w:rsidRDefault="00F32370">
            <w:pPr>
              <w:jc w:val="both"/>
              <w:rPr>
                <w:noProof/>
                <w:sz w:val="22"/>
              </w:rPr>
            </w:pPr>
            <w:bookmarkStart w:id="0" w:name="_GoBack"/>
            <w:bookmarkEnd w:id="0"/>
          </w:p>
          <w:p w:rsidR="00464264" w:rsidRDefault="00464264">
            <w:pPr>
              <w:jc w:val="both"/>
              <w:rPr>
                <w:noProof/>
                <w:sz w:val="22"/>
              </w:rPr>
            </w:pPr>
          </w:p>
          <w:p w:rsidR="00464264" w:rsidRDefault="00464264">
            <w:pPr>
              <w:jc w:val="both"/>
              <w:rPr>
                <w:sz w:val="22"/>
              </w:rPr>
            </w:pP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SD19B/0122</w:t>
            </w:r>
          </w:p>
        </w:tc>
        <w:tc>
          <w:tcPr>
            <w:tcW w:w="2126" w:type="dxa"/>
          </w:tcPr>
          <w:p w:rsidR="00464264" w:rsidRDefault="00464264">
            <w:pPr>
              <w:tabs>
                <w:tab w:val="left" w:pos="1985"/>
                <w:tab w:val="left" w:pos="4536"/>
              </w:tabs>
              <w:rPr>
                <w:b/>
                <w:sz w:val="22"/>
              </w:rPr>
            </w:pPr>
            <w:r w:rsidRPr="008D5FD3">
              <w:rPr>
                <w:b/>
                <w:noProof/>
                <w:sz w:val="22"/>
              </w:rPr>
              <w:t>REFUSE PERMISSION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Ivan Dimov</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79, Oak Way, Clondalkin, Dublin 22</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Two storey extension to side of house, consisting of dining room, wc and internal passage to garden at ground level and play room at first floor level with extended hipped roof to match existing; lean-to canopy over front porch to extend over new ground floor front bay window; materials and finishes to match existing.</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SD19A/0109</w:t>
            </w:r>
          </w:p>
        </w:tc>
        <w:tc>
          <w:tcPr>
            <w:tcW w:w="2126" w:type="dxa"/>
          </w:tcPr>
          <w:p w:rsidR="00464264" w:rsidRDefault="00464264">
            <w:pPr>
              <w:tabs>
                <w:tab w:val="left" w:pos="1985"/>
                <w:tab w:val="left" w:pos="4536"/>
              </w:tabs>
              <w:rPr>
                <w:b/>
                <w:sz w:val="22"/>
              </w:rPr>
            </w:pPr>
            <w:r w:rsidRPr="008D5FD3">
              <w:rPr>
                <w:b/>
                <w:noProof/>
                <w:sz w:val="22"/>
              </w:rPr>
              <w:t>REQUEST ADDITIONAL INFORMATION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20-May-2019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JAS Ventures</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Site Adjacent to, 23, Carrigmore View, Aylesbury, Tallaght, Dublin 24</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Construction of a three storey building to provide 2 one bed apartments at ground floor level; 2 two bed duplex apartments at first and second floor level including vehicular access and car parking to front gardens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SD19A/0112</w:t>
            </w:r>
          </w:p>
        </w:tc>
        <w:tc>
          <w:tcPr>
            <w:tcW w:w="2126" w:type="dxa"/>
          </w:tcPr>
          <w:p w:rsidR="00464264" w:rsidRDefault="00464264">
            <w:pPr>
              <w:tabs>
                <w:tab w:val="left" w:pos="1985"/>
                <w:tab w:val="left" w:pos="4536"/>
              </w:tabs>
              <w:rPr>
                <w:b/>
                <w:sz w:val="22"/>
              </w:rPr>
            </w:pPr>
            <w:r w:rsidRPr="008D5FD3">
              <w:rPr>
                <w:b/>
                <w:noProof/>
                <w:sz w:val="22"/>
              </w:rPr>
              <w:t>REQUEST ADDITIONAL INFORMATION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Shared Access Ltd.</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Lucan Golf Club, Old Celbridge Road, Lucan, Co. Dublin</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24m multi-user free standing structure carrying telecommunications equipment, together with associated telecommunication cabinets; fencing; a 770m long access track; hardstand area and all associated site development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noProof/>
                <w:sz w:val="22"/>
              </w:rPr>
            </w:pPr>
            <w:r w:rsidRPr="008D5FD3">
              <w:rPr>
                <w:noProof/>
                <w:sz w:val="22"/>
              </w:rPr>
              <w:t xml:space="preserve">Direct Marketing </w:t>
            </w:r>
            <w:r>
              <w:rPr>
                <w:noProof/>
                <w:sz w:val="22"/>
              </w:rPr>
              <w:t>–</w:t>
            </w:r>
            <w:r w:rsidRPr="008D5FD3">
              <w:rPr>
                <w:noProof/>
                <w:sz w:val="22"/>
              </w:rPr>
              <w:t xml:space="preserve"> NO</w:t>
            </w:r>
          </w:p>
          <w:p w:rsidR="00464264" w:rsidRDefault="00464264">
            <w:pPr>
              <w:jc w:val="both"/>
              <w:rPr>
                <w:noProof/>
                <w:sz w:val="22"/>
              </w:rPr>
            </w:pPr>
          </w:p>
          <w:p w:rsidR="00464264" w:rsidRDefault="00464264">
            <w:pPr>
              <w:jc w:val="both"/>
              <w:rPr>
                <w:sz w:val="22"/>
              </w:rPr>
            </w:pP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lastRenderedPageBreak/>
              <w:t>SD19B/0128</w:t>
            </w:r>
          </w:p>
        </w:tc>
        <w:tc>
          <w:tcPr>
            <w:tcW w:w="2126" w:type="dxa"/>
          </w:tcPr>
          <w:p w:rsidR="00464264" w:rsidRDefault="00464264">
            <w:pPr>
              <w:tabs>
                <w:tab w:val="left" w:pos="1985"/>
                <w:tab w:val="left" w:pos="4536"/>
              </w:tabs>
              <w:rPr>
                <w:b/>
                <w:sz w:val="22"/>
              </w:rPr>
            </w:pPr>
            <w:r w:rsidRPr="008D5FD3">
              <w:rPr>
                <w:b/>
                <w:noProof/>
                <w:sz w:val="22"/>
              </w:rPr>
              <w:t>REQUEST ADDITIONAL INFORMATION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21-May-2019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Paul Kennedy &amp; Laura Dennehy</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144, Moyville, Rathfarnham, Dublin 16</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Internal alterations; kitchen window to the side; roof light to the rear slope; demolition of the existing single storey rear conservatory extension; construction of a two storey extension with flat roof and roof lights to the rear of the house and ancillary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r w:rsidR="00464264">
        <w:tblPrEx>
          <w:tblCellMar>
            <w:top w:w="0" w:type="dxa"/>
            <w:bottom w:w="0" w:type="dxa"/>
          </w:tblCellMar>
        </w:tblPrEx>
        <w:tc>
          <w:tcPr>
            <w:tcW w:w="1951" w:type="dxa"/>
          </w:tcPr>
          <w:p w:rsidR="00464264" w:rsidRDefault="00464264">
            <w:pPr>
              <w:tabs>
                <w:tab w:val="left" w:pos="1985"/>
                <w:tab w:val="left" w:pos="4536"/>
              </w:tabs>
              <w:rPr>
                <w:b/>
                <w:sz w:val="22"/>
              </w:rPr>
            </w:pPr>
            <w:r w:rsidRPr="008D5FD3">
              <w:rPr>
                <w:b/>
                <w:noProof/>
                <w:sz w:val="22"/>
              </w:rPr>
              <w:t>SD19B/0133</w:t>
            </w:r>
          </w:p>
        </w:tc>
        <w:tc>
          <w:tcPr>
            <w:tcW w:w="2126" w:type="dxa"/>
          </w:tcPr>
          <w:p w:rsidR="00464264" w:rsidRDefault="00464264">
            <w:pPr>
              <w:tabs>
                <w:tab w:val="left" w:pos="1985"/>
                <w:tab w:val="left" w:pos="4536"/>
              </w:tabs>
              <w:rPr>
                <w:b/>
                <w:sz w:val="22"/>
              </w:rPr>
            </w:pPr>
            <w:r w:rsidRPr="008D5FD3">
              <w:rPr>
                <w:b/>
                <w:noProof/>
                <w:sz w:val="22"/>
              </w:rPr>
              <w:t>REQUEST ADDITIONAL INFORMATION</w:t>
            </w:r>
          </w:p>
          <w:p w:rsidR="00464264" w:rsidRDefault="00464264">
            <w:pPr>
              <w:tabs>
                <w:tab w:val="left" w:pos="1985"/>
                <w:tab w:val="left" w:pos="4536"/>
              </w:tabs>
              <w:jc w:val="right"/>
              <w:rPr>
                <w:sz w:val="22"/>
              </w:rPr>
            </w:pPr>
          </w:p>
        </w:tc>
        <w:tc>
          <w:tcPr>
            <w:tcW w:w="5736" w:type="dxa"/>
          </w:tcPr>
          <w:p w:rsidR="00464264" w:rsidRDefault="00464264">
            <w:pPr>
              <w:rPr>
                <w:b/>
                <w:sz w:val="22"/>
              </w:rPr>
            </w:pPr>
            <w:r w:rsidRPr="008D5FD3">
              <w:rPr>
                <w:b/>
                <w:noProof/>
                <w:sz w:val="22"/>
              </w:rPr>
              <w:t>23-May-2019</w:t>
            </w:r>
            <w:r>
              <w:rPr>
                <w:b/>
                <w:sz w:val="22"/>
              </w:rPr>
              <w:t xml:space="preserve">                                     </w:t>
            </w:r>
          </w:p>
          <w:p w:rsidR="00464264" w:rsidRDefault="00464264">
            <w:pPr>
              <w:rPr>
                <w:sz w:val="22"/>
              </w:rPr>
            </w:pPr>
          </w:p>
          <w:p w:rsidR="00464264" w:rsidRDefault="00464264">
            <w:pPr>
              <w:tabs>
                <w:tab w:val="right" w:pos="5562"/>
              </w:tabs>
              <w:rPr>
                <w:rFonts w:ascii="Arial Narrow" w:hAnsi="Arial Narrow"/>
                <w:b/>
                <w:i/>
                <w:sz w:val="22"/>
              </w:rPr>
            </w:pPr>
            <w:r>
              <w:rPr>
                <w:rFonts w:ascii="Arial Narrow" w:hAnsi="Arial Narrow"/>
                <w:b/>
                <w:i/>
                <w:sz w:val="22"/>
              </w:rPr>
              <w:t>Applicant:</w:t>
            </w:r>
          </w:p>
          <w:p w:rsidR="00464264" w:rsidRDefault="00464264">
            <w:pPr>
              <w:tabs>
                <w:tab w:val="right" w:pos="5562"/>
              </w:tabs>
              <w:rPr>
                <w:rFonts w:ascii="Arial Narrow" w:hAnsi="Arial Narrow"/>
                <w:sz w:val="22"/>
              </w:rPr>
            </w:pPr>
            <w:r w:rsidRPr="008D5FD3">
              <w:rPr>
                <w:rFonts w:ascii="Arial Narrow" w:hAnsi="Arial Narrow"/>
                <w:noProof/>
                <w:sz w:val="22"/>
              </w:rPr>
              <w:t>Jim McMahon</w:t>
            </w:r>
          </w:p>
          <w:p w:rsidR="00464264" w:rsidRDefault="00464264">
            <w:pPr>
              <w:rPr>
                <w:rFonts w:ascii="Arial Narrow" w:hAnsi="Arial Narrow"/>
                <w:sz w:val="22"/>
              </w:rPr>
            </w:pPr>
            <w:r>
              <w:rPr>
                <w:rFonts w:ascii="Arial Narrow" w:hAnsi="Arial Narrow"/>
                <w:b/>
                <w:i/>
                <w:sz w:val="22"/>
              </w:rPr>
              <w:t>Location:</w:t>
            </w:r>
          </w:p>
          <w:p w:rsidR="00464264" w:rsidRDefault="00464264">
            <w:pPr>
              <w:jc w:val="both"/>
              <w:rPr>
                <w:rFonts w:ascii="Arial Narrow" w:hAnsi="Arial Narrow"/>
                <w:sz w:val="22"/>
              </w:rPr>
            </w:pPr>
            <w:r w:rsidRPr="008D5FD3">
              <w:rPr>
                <w:rFonts w:ascii="Arial Narrow" w:hAnsi="Arial Narrow"/>
                <w:noProof/>
                <w:sz w:val="22"/>
              </w:rPr>
              <w:t>43, Springvale, Edmondstown Road, Dublin 16</w:t>
            </w:r>
          </w:p>
          <w:p w:rsidR="00464264" w:rsidRDefault="00464264">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rsidR="00464264" w:rsidRDefault="00464264">
            <w:pPr>
              <w:jc w:val="both"/>
              <w:rPr>
                <w:rFonts w:ascii="Arial Narrow" w:hAnsi="Arial Narrow"/>
                <w:sz w:val="22"/>
              </w:rPr>
            </w:pPr>
            <w:r w:rsidRPr="008D5FD3">
              <w:rPr>
                <w:rFonts w:ascii="Arial Narrow" w:hAnsi="Arial Narrow"/>
                <w:noProof/>
                <w:sz w:val="22"/>
              </w:rPr>
              <w:t>Two storey extension to side and single storey extension to rear of property with internal alterations to provide ancillary family accommodation and all associated site works.</w:t>
            </w:r>
          </w:p>
          <w:p w:rsidR="00464264" w:rsidRDefault="00464264">
            <w:pPr>
              <w:jc w:val="both"/>
              <w:rPr>
                <w:b/>
                <w:i/>
                <w:sz w:val="22"/>
              </w:rPr>
            </w:pPr>
            <w:r w:rsidRPr="000C71AD">
              <w:rPr>
                <w:rFonts w:ascii="Arial Narrow" w:hAnsi="Arial Narrow"/>
                <w:b/>
                <w:i/>
                <w:sz w:val="22"/>
              </w:rPr>
              <w:t>Direct Marketing</w:t>
            </w:r>
            <w:r w:rsidRPr="000C71AD">
              <w:rPr>
                <w:b/>
                <w:i/>
                <w:sz w:val="22"/>
              </w:rPr>
              <w:t>:</w:t>
            </w:r>
          </w:p>
          <w:p w:rsidR="00464264" w:rsidRDefault="00464264">
            <w:pPr>
              <w:jc w:val="both"/>
              <w:rPr>
                <w:sz w:val="22"/>
              </w:rPr>
            </w:pPr>
            <w:r w:rsidRPr="008D5FD3">
              <w:rPr>
                <w:noProof/>
                <w:sz w:val="22"/>
              </w:rPr>
              <w:t>Direct Marketing - NO</w:t>
            </w:r>
          </w:p>
          <w:p w:rsidR="00464264" w:rsidRPr="007C7111" w:rsidRDefault="00464264">
            <w:pPr>
              <w:jc w:val="both"/>
              <w:rPr>
                <w:sz w:val="22"/>
              </w:rPr>
            </w:pPr>
          </w:p>
        </w:tc>
      </w:tr>
    </w:tbl>
    <w:p w:rsidR="009C44D1" w:rsidRDefault="009C44D1">
      <w:pPr>
        <w:pStyle w:val="Header"/>
        <w:tabs>
          <w:tab w:val="clear" w:pos="4153"/>
          <w:tab w:val="clear" w:pos="8306"/>
        </w:tabs>
      </w:pPr>
    </w:p>
    <w:sectPr w:rsidR="009C44D1">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44D1" w:rsidRDefault="009C44D1">
      <w:r>
        <w:separator/>
      </w:r>
    </w:p>
  </w:endnote>
  <w:endnote w:type="continuationSeparator" w:id="0">
    <w:p w:rsidR="009C44D1" w:rsidRDefault="009C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44D1" w:rsidRDefault="009C44D1">
      <w:r>
        <w:separator/>
      </w:r>
    </w:p>
  </w:footnote>
  <w:footnote w:type="continuationSeparator" w:id="0">
    <w:p w:rsidR="009C44D1" w:rsidRDefault="009C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36F88" w:rsidRDefault="00436F88">
    <w:pPr>
      <w:pStyle w:val="Header"/>
      <w:rPr>
        <w:b/>
      </w:rPr>
    </w:pPr>
  </w:p>
  <w:p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rsidR="002D6E97" w:rsidRPr="002D6E97" w:rsidRDefault="002D6E97" w:rsidP="002D6E97">
    <w:pPr>
      <w:autoSpaceDE w:val="0"/>
      <w:autoSpaceDN w:val="0"/>
      <w:adjustRightInd w:val="0"/>
      <w:rPr>
        <w:b/>
        <w:bCs/>
        <w:iCs/>
        <w:sz w:val="16"/>
        <w:szCs w:val="16"/>
      </w:rPr>
    </w:pPr>
    <w:bookmarkStart w:id="1" w:name="OLE_LINK2"/>
    <w:bookmarkStart w:id="2"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1"/>
    <w:bookmarkEnd w:id="2"/>
  </w:p>
  <w:p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6F88"/>
    <w:rsid w:val="000C71AD"/>
    <w:rsid w:val="002D6E97"/>
    <w:rsid w:val="00436F88"/>
    <w:rsid w:val="00464264"/>
    <w:rsid w:val="005902FC"/>
    <w:rsid w:val="00724F06"/>
    <w:rsid w:val="007C7111"/>
    <w:rsid w:val="00815F17"/>
    <w:rsid w:val="009C44D1"/>
    <w:rsid w:val="00AA290F"/>
    <w:rsid w:val="00CA5A8C"/>
    <w:rsid w:val="00CD34CC"/>
    <w:rsid w:val="00E167D9"/>
    <w:rsid w:val="00F32370"/>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8883E4"/>
  <w15:chartTrackingRefBased/>
  <w15:docId w15:val="{E720F32A-12B6-4993-BD29-10B61E14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1761</Words>
  <Characters>11195</Characters>
  <Application>Microsoft Office Word</Application>
  <DocSecurity>0</DocSecurity>
  <Lines>93</Lines>
  <Paragraphs>25</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3</cp:revision>
  <dcterms:created xsi:type="dcterms:W3CDTF">2019-05-29T09:00:00Z</dcterms:created>
  <dcterms:modified xsi:type="dcterms:W3CDTF">2019-05-29T09:01:00Z</dcterms:modified>
</cp:coreProperties>
</file>