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C4F" w:rsidRDefault="002F5C4F">
      <w:bookmarkStart w:id="0" w:name="_GoBack"/>
      <w:bookmarkEnd w:id="0"/>
    </w:p>
    <w:tbl>
      <w:tblPr>
        <w:tblW w:w="0" w:type="auto"/>
        <w:tblLayout w:type="fixed"/>
        <w:tblLook w:val="0000" w:firstRow="0" w:lastRow="0" w:firstColumn="0" w:lastColumn="0" w:noHBand="0" w:noVBand="0"/>
      </w:tblPr>
      <w:tblGrid>
        <w:gridCol w:w="3227"/>
        <w:gridCol w:w="5629"/>
      </w:tblGrid>
      <w:tr w:rsidR="002F5C4F" w:rsidTr="001D2D45">
        <w:tblPrEx>
          <w:tblCellMar>
            <w:top w:w="0" w:type="dxa"/>
            <w:bottom w:w="0" w:type="dxa"/>
          </w:tblCellMar>
        </w:tblPrEx>
        <w:tc>
          <w:tcPr>
            <w:tcW w:w="3227" w:type="dxa"/>
          </w:tcPr>
          <w:p w:rsidR="002F5C4F" w:rsidRPr="001D2D45" w:rsidRDefault="002F5C4F">
            <w:pPr>
              <w:spacing w:before="120"/>
              <w:rPr>
                <w:b/>
                <w:sz w:val="24"/>
                <w:szCs w:val="24"/>
              </w:rPr>
            </w:pPr>
            <w:r w:rsidRPr="004C610D">
              <w:rPr>
                <w:b/>
                <w:noProof/>
                <w:sz w:val="24"/>
                <w:szCs w:val="24"/>
              </w:rPr>
              <w:t>SD17A/0025</w:t>
            </w:r>
          </w:p>
        </w:tc>
        <w:tc>
          <w:tcPr>
            <w:tcW w:w="5629" w:type="dxa"/>
          </w:tcPr>
          <w:p w:rsidR="002F5C4F" w:rsidRPr="001D2D45" w:rsidRDefault="002F5C4F">
            <w:pPr>
              <w:spacing w:before="120"/>
              <w:rPr>
                <w:sz w:val="22"/>
                <w:szCs w:val="22"/>
              </w:rPr>
            </w:pP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APPEAL NOTIFIED:</w:t>
            </w:r>
          </w:p>
        </w:tc>
        <w:tc>
          <w:tcPr>
            <w:tcW w:w="5629" w:type="dxa"/>
          </w:tcPr>
          <w:p w:rsidR="002F5C4F" w:rsidRPr="001D2D45" w:rsidRDefault="002F5C4F">
            <w:pPr>
              <w:spacing w:before="120"/>
              <w:rPr>
                <w:sz w:val="22"/>
                <w:szCs w:val="22"/>
              </w:rPr>
            </w:pPr>
            <w:r w:rsidRPr="004C610D">
              <w:rPr>
                <w:noProof/>
                <w:sz w:val="22"/>
                <w:szCs w:val="22"/>
              </w:rPr>
              <w:t>13-Oct-2017</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APPEAL LODGED:</w:t>
            </w:r>
          </w:p>
        </w:tc>
        <w:tc>
          <w:tcPr>
            <w:tcW w:w="5629" w:type="dxa"/>
          </w:tcPr>
          <w:p w:rsidR="002F5C4F" w:rsidRPr="001D2D45" w:rsidRDefault="002F5C4F">
            <w:pPr>
              <w:pStyle w:val="Header"/>
              <w:tabs>
                <w:tab w:val="clear" w:pos="4153"/>
                <w:tab w:val="clear" w:pos="8306"/>
              </w:tabs>
              <w:spacing w:before="120"/>
              <w:rPr>
                <w:sz w:val="22"/>
                <w:szCs w:val="22"/>
              </w:rPr>
            </w:pPr>
            <w:r w:rsidRPr="004C610D">
              <w:rPr>
                <w:noProof/>
                <w:sz w:val="22"/>
                <w:szCs w:val="22"/>
              </w:rPr>
              <w:t>12-Oct-2017</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APPELLANT TYPE:</w:t>
            </w:r>
          </w:p>
        </w:tc>
        <w:tc>
          <w:tcPr>
            <w:tcW w:w="5629" w:type="dxa"/>
          </w:tcPr>
          <w:p w:rsidR="002F5C4F" w:rsidRPr="001D2D45" w:rsidRDefault="002F5C4F">
            <w:pPr>
              <w:spacing w:before="120"/>
              <w:rPr>
                <w:sz w:val="22"/>
                <w:szCs w:val="22"/>
              </w:rPr>
            </w:pPr>
            <w:r w:rsidRPr="004C610D">
              <w:rPr>
                <w:noProof/>
                <w:sz w:val="22"/>
                <w:szCs w:val="22"/>
              </w:rPr>
              <w:t>3RD PARTY</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NATURE OF APPEAL:</w:t>
            </w:r>
          </w:p>
        </w:tc>
        <w:tc>
          <w:tcPr>
            <w:tcW w:w="5629" w:type="dxa"/>
          </w:tcPr>
          <w:p w:rsidR="002F5C4F" w:rsidRPr="001D2D45" w:rsidRDefault="002F5C4F">
            <w:pPr>
              <w:spacing w:before="120"/>
              <w:rPr>
                <w:sz w:val="22"/>
                <w:szCs w:val="22"/>
              </w:rPr>
            </w:pPr>
            <w:r w:rsidRPr="004C610D">
              <w:rPr>
                <w:noProof/>
                <w:sz w:val="22"/>
                <w:szCs w:val="22"/>
              </w:rPr>
              <w:t>AGAINST DECISION</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COUNCILS DECISION:</w:t>
            </w:r>
          </w:p>
        </w:tc>
        <w:tc>
          <w:tcPr>
            <w:tcW w:w="5629" w:type="dxa"/>
          </w:tcPr>
          <w:p w:rsidR="002F5C4F" w:rsidRPr="001D2D45" w:rsidRDefault="002F5C4F">
            <w:pPr>
              <w:spacing w:before="120"/>
              <w:rPr>
                <w:sz w:val="22"/>
                <w:szCs w:val="22"/>
              </w:rPr>
            </w:pPr>
            <w:r w:rsidRPr="004C610D">
              <w:rPr>
                <w:noProof/>
                <w:sz w:val="22"/>
                <w:szCs w:val="22"/>
              </w:rPr>
              <w:t>GRANT PERMISSION</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APPLICANT:</w:t>
            </w:r>
          </w:p>
        </w:tc>
        <w:tc>
          <w:tcPr>
            <w:tcW w:w="5629" w:type="dxa"/>
          </w:tcPr>
          <w:p w:rsidR="002F5C4F" w:rsidRPr="001D2D45" w:rsidRDefault="002F5C4F">
            <w:pPr>
              <w:spacing w:before="120"/>
              <w:rPr>
                <w:sz w:val="22"/>
                <w:szCs w:val="22"/>
              </w:rPr>
            </w:pPr>
            <w:r w:rsidRPr="004C610D">
              <w:rPr>
                <w:noProof/>
                <w:sz w:val="22"/>
                <w:szCs w:val="22"/>
              </w:rPr>
              <w:t>Tallaght Town AFC</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LOCATION:</w:t>
            </w:r>
          </w:p>
        </w:tc>
        <w:tc>
          <w:tcPr>
            <w:tcW w:w="5629" w:type="dxa"/>
          </w:tcPr>
          <w:p w:rsidR="002F5C4F" w:rsidRPr="001D2D45" w:rsidRDefault="002F5C4F">
            <w:pPr>
              <w:spacing w:before="120"/>
              <w:rPr>
                <w:sz w:val="22"/>
                <w:szCs w:val="22"/>
              </w:rPr>
            </w:pPr>
            <w:r w:rsidRPr="004C610D">
              <w:rPr>
                <w:noProof/>
                <w:sz w:val="22"/>
                <w:szCs w:val="22"/>
              </w:rPr>
              <w:t>Carolan Park, Ballymana Lane, Kiltipper, Tallaght, Dublin 24</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PROPOSED DEVELOPMENT:</w:t>
            </w:r>
          </w:p>
        </w:tc>
        <w:tc>
          <w:tcPr>
            <w:tcW w:w="5629" w:type="dxa"/>
          </w:tcPr>
          <w:p w:rsidR="002F5C4F" w:rsidRPr="001D2D45" w:rsidRDefault="002F5C4F">
            <w:pPr>
              <w:spacing w:before="120"/>
              <w:rPr>
                <w:sz w:val="22"/>
                <w:szCs w:val="22"/>
              </w:rPr>
            </w:pPr>
            <w:r w:rsidRPr="004C610D">
              <w:rPr>
                <w:noProof/>
                <w:sz w:val="22"/>
                <w:szCs w:val="22"/>
              </w:rPr>
              <w:t>A new clubhouse, extension to existing car park and relocation of car park entrance, perimeter security fence and septic tank, including all associated landscaping and ground works.</w:t>
            </w:r>
          </w:p>
        </w:tc>
      </w:tr>
    </w:tbl>
    <w:p w:rsidR="002F5C4F" w:rsidRDefault="002F5C4F">
      <w:pPr>
        <w:pBdr>
          <w:bottom w:val="single" w:sz="12" w:space="1" w:color="auto"/>
        </w:pBdr>
      </w:pPr>
    </w:p>
    <w:p w:rsidR="002F5C4F" w:rsidRDefault="002F5C4F"/>
    <w:tbl>
      <w:tblPr>
        <w:tblW w:w="0" w:type="auto"/>
        <w:tblLayout w:type="fixed"/>
        <w:tblLook w:val="0000" w:firstRow="0" w:lastRow="0" w:firstColumn="0" w:lastColumn="0" w:noHBand="0" w:noVBand="0"/>
      </w:tblPr>
      <w:tblGrid>
        <w:gridCol w:w="3227"/>
        <w:gridCol w:w="5629"/>
      </w:tblGrid>
      <w:tr w:rsidR="002F5C4F" w:rsidTr="001D2D45">
        <w:tblPrEx>
          <w:tblCellMar>
            <w:top w:w="0" w:type="dxa"/>
            <w:bottom w:w="0" w:type="dxa"/>
          </w:tblCellMar>
        </w:tblPrEx>
        <w:tc>
          <w:tcPr>
            <w:tcW w:w="3227" w:type="dxa"/>
          </w:tcPr>
          <w:p w:rsidR="002F5C4F" w:rsidRPr="001D2D45" w:rsidRDefault="002F5C4F">
            <w:pPr>
              <w:spacing w:before="120"/>
              <w:rPr>
                <w:b/>
                <w:sz w:val="24"/>
                <w:szCs w:val="24"/>
              </w:rPr>
            </w:pPr>
            <w:r w:rsidRPr="004C610D">
              <w:rPr>
                <w:b/>
                <w:noProof/>
                <w:sz w:val="24"/>
                <w:szCs w:val="24"/>
              </w:rPr>
              <w:t>SD17A/0041</w:t>
            </w:r>
          </w:p>
        </w:tc>
        <w:tc>
          <w:tcPr>
            <w:tcW w:w="5629" w:type="dxa"/>
          </w:tcPr>
          <w:p w:rsidR="002F5C4F" w:rsidRPr="001D2D45" w:rsidRDefault="002F5C4F">
            <w:pPr>
              <w:spacing w:before="120"/>
              <w:rPr>
                <w:sz w:val="22"/>
                <w:szCs w:val="22"/>
              </w:rPr>
            </w:pP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APPEAL NOTIFIED:</w:t>
            </w:r>
          </w:p>
        </w:tc>
        <w:tc>
          <w:tcPr>
            <w:tcW w:w="5629" w:type="dxa"/>
          </w:tcPr>
          <w:p w:rsidR="002F5C4F" w:rsidRPr="001D2D45" w:rsidRDefault="002F5C4F">
            <w:pPr>
              <w:spacing w:before="120"/>
              <w:rPr>
                <w:sz w:val="22"/>
                <w:szCs w:val="22"/>
              </w:rPr>
            </w:pPr>
            <w:r w:rsidRPr="004C610D">
              <w:rPr>
                <w:noProof/>
                <w:sz w:val="22"/>
                <w:szCs w:val="22"/>
              </w:rPr>
              <w:t>11-Oct-2017</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APPEAL LODGED:</w:t>
            </w:r>
          </w:p>
        </w:tc>
        <w:tc>
          <w:tcPr>
            <w:tcW w:w="5629" w:type="dxa"/>
          </w:tcPr>
          <w:p w:rsidR="002F5C4F" w:rsidRPr="001D2D45" w:rsidRDefault="002F5C4F">
            <w:pPr>
              <w:pStyle w:val="Header"/>
              <w:tabs>
                <w:tab w:val="clear" w:pos="4153"/>
                <w:tab w:val="clear" w:pos="8306"/>
              </w:tabs>
              <w:spacing w:before="120"/>
              <w:rPr>
                <w:sz w:val="22"/>
                <w:szCs w:val="22"/>
              </w:rPr>
            </w:pPr>
            <w:r w:rsidRPr="004C610D">
              <w:rPr>
                <w:noProof/>
                <w:sz w:val="22"/>
                <w:szCs w:val="22"/>
              </w:rPr>
              <w:t>05-Oct-2017</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APPELLANT TYPE:</w:t>
            </w:r>
          </w:p>
        </w:tc>
        <w:tc>
          <w:tcPr>
            <w:tcW w:w="5629" w:type="dxa"/>
          </w:tcPr>
          <w:p w:rsidR="002F5C4F" w:rsidRPr="001D2D45" w:rsidRDefault="002F5C4F">
            <w:pPr>
              <w:spacing w:before="120"/>
              <w:rPr>
                <w:sz w:val="22"/>
                <w:szCs w:val="22"/>
              </w:rPr>
            </w:pPr>
            <w:r w:rsidRPr="004C610D">
              <w:rPr>
                <w:noProof/>
                <w:sz w:val="22"/>
                <w:szCs w:val="22"/>
              </w:rPr>
              <w:t>3RD PARTY</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NATURE OF APPEAL:</w:t>
            </w:r>
          </w:p>
        </w:tc>
        <w:tc>
          <w:tcPr>
            <w:tcW w:w="5629" w:type="dxa"/>
          </w:tcPr>
          <w:p w:rsidR="002F5C4F" w:rsidRPr="001D2D45" w:rsidRDefault="002F5C4F">
            <w:pPr>
              <w:spacing w:before="120"/>
              <w:rPr>
                <w:sz w:val="22"/>
                <w:szCs w:val="22"/>
              </w:rPr>
            </w:pPr>
            <w:r w:rsidRPr="004C610D">
              <w:rPr>
                <w:noProof/>
                <w:sz w:val="22"/>
                <w:szCs w:val="22"/>
              </w:rPr>
              <w:t>AGAINST DECISION</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COUNCILS DECISION:</w:t>
            </w:r>
          </w:p>
        </w:tc>
        <w:tc>
          <w:tcPr>
            <w:tcW w:w="5629" w:type="dxa"/>
          </w:tcPr>
          <w:p w:rsidR="002F5C4F" w:rsidRPr="001D2D45" w:rsidRDefault="002F5C4F">
            <w:pPr>
              <w:spacing w:before="120"/>
              <w:rPr>
                <w:sz w:val="22"/>
                <w:szCs w:val="22"/>
              </w:rPr>
            </w:pPr>
            <w:r w:rsidRPr="004C610D">
              <w:rPr>
                <w:noProof/>
                <w:sz w:val="22"/>
                <w:szCs w:val="22"/>
              </w:rPr>
              <w:t>GRANT PERMISSION</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APPLICANT:</w:t>
            </w:r>
          </w:p>
        </w:tc>
        <w:tc>
          <w:tcPr>
            <w:tcW w:w="5629" w:type="dxa"/>
          </w:tcPr>
          <w:p w:rsidR="002F5C4F" w:rsidRPr="001D2D45" w:rsidRDefault="002F5C4F">
            <w:pPr>
              <w:spacing w:before="120"/>
              <w:rPr>
                <w:sz w:val="22"/>
                <w:szCs w:val="22"/>
              </w:rPr>
            </w:pPr>
            <w:r w:rsidRPr="004C610D">
              <w:rPr>
                <w:noProof/>
                <w:sz w:val="22"/>
                <w:szCs w:val="22"/>
              </w:rPr>
              <w:t>HWBC Allsop &amp; Capami Ltd.</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LOCATION:</w:t>
            </w:r>
          </w:p>
        </w:tc>
        <w:tc>
          <w:tcPr>
            <w:tcW w:w="5629" w:type="dxa"/>
          </w:tcPr>
          <w:p w:rsidR="002F5C4F" w:rsidRPr="001D2D45" w:rsidRDefault="002F5C4F">
            <w:pPr>
              <w:spacing w:before="120"/>
              <w:rPr>
                <w:sz w:val="22"/>
                <w:szCs w:val="22"/>
              </w:rPr>
            </w:pPr>
            <w:r w:rsidRPr="004C610D">
              <w:rPr>
                <w:noProof/>
                <w:sz w:val="22"/>
                <w:szCs w:val="22"/>
              </w:rPr>
              <w:t>Lands at Oldcourt &amp; Bohernabreena, Tallaght, Dublin 24</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PROPOSED DEVELOPMENT:</w:t>
            </w:r>
          </w:p>
        </w:tc>
        <w:tc>
          <w:tcPr>
            <w:tcW w:w="5629" w:type="dxa"/>
          </w:tcPr>
          <w:p w:rsidR="002F5C4F" w:rsidRPr="001D2D45" w:rsidRDefault="002F5C4F">
            <w:pPr>
              <w:spacing w:before="120"/>
              <w:rPr>
                <w:sz w:val="22"/>
                <w:szCs w:val="22"/>
              </w:rPr>
            </w:pPr>
            <w:r w:rsidRPr="004C610D">
              <w:rPr>
                <w:noProof/>
                <w:sz w:val="22"/>
                <w:szCs w:val="22"/>
              </w:rPr>
              <w:t xml:space="preserve">The construction of the Main Link Street as shown in the Ballycullen - Oldcourt Local Area Plan 2014 with access onto the Oldcourt Road at Gunny Hill to the east and the Bohernabreena Road to the west. The Link Street consists of a single 7 meter wide carriageway including footpaths, cycle paths, bus bays, traffic calming measures, public lighting and tree planted grass margins having total length of approximately 1516 meters on a net development area of approximately 7.7ha and will provide access and connections to lands designated for residential development in the Ballycullen Oldcourt LAP. The Link Street incorporates pipes and ducts to accommodate for future services including surface water attenuation and other piped and wire services. The Link Street will be constructed in part over the existing </w:t>
            </w:r>
            <w:r w:rsidRPr="004C610D">
              <w:rPr>
                <w:noProof/>
                <w:sz w:val="22"/>
                <w:szCs w:val="22"/>
              </w:rPr>
              <w:lastRenderedPageBreak/>
              <w:t>twin watermains that traverse the site and will follow as far as possible the existing contours of 109m to the west and 107m to the east with a mid-high point of 114m and a mid low point of 104m approximately, minimalising cut and fill and will incorporate at grade pedestrian, vehicular and cycle junctions onto the Oldcourt and Bohernabreena Road.</w:t>
            </w:r>
          </w:p>
        </w:tc>
      </w:tr>
    </w:tbl>
    <w:p w:rsidR="002F5C4F" w:rsidRDefault="002F5C4F">
      <w:pPr>
        <w:pBdr>
          <w:bottom w:val="single" w:sz="12" w:space="1" w:color="auto"/>
        </w:pBdr>
      </w:pPr>
    </w:p>
    <w:p w:rsidR="002F5C4F" w:rsidRDefault="002F5C4F"/>
    <w:tbl>
      <w:tblPr>
        <w:tblW w:w="0" w:type="auto"/>
        <w:tblLayout w:type="fixed"/>
        <w:tblLook w:val="0000" w:firstRow="0" w:lastRow="0" w:firstColumn="0" w:lastColumn="0" w:noHBand="0" w:noVBand="0"/>
      </w:tblPr>
      <w:tblGrid>
        <w:gridCol w:w="3227"/>
        <w:gridCol w:w="5629"/>
      </w:tblGrid>
      <w:tr w:rsidR="002F5C4F" w:rsidTr="001D2D45">
        <w:tblPrEx>
          <w:tblCellMar>
            <w:top w:w="0" w:type="dxa"/>
            <w:bottom w:w="0" w:type="dxa"/>
          </w:tblCellMar>
        </w:tblPrEx>
        <w:tc>
          <w:tcPr>
            <w:tcW w:w="3227" w:type="dxa"/>
          </w:tcPr>
          <w:p w:rsidR="002F5C4F" w:rsidRPr="001D2D45" w:rsidRDefault="002F5C4F">
            <w:pPr>
              <w:spacing w:before="120"/>
              <w:rPr>
                <w:b/>
                <w:sz w:val="24"/>
                <w:szCs w:val="24"/>
              </w:rPr>
            </w:pPr>
            <w:r w:rsidRPr="004C610D">
              <w:rPr>
                <w:b/>
                <w:noProof/>
                <w:sz w:val="24"/>
                <w:szCs w:val="24"/>
              </w:rPr>
              <w:t>SD17A/0249</w:t>
            </w:r>
          </w:p>
        </w:tc>
        <w:tc>
          <w:tcPr>
            <w:tcW w:w="5629" w:type="dxa"/>
          </w:tcPr>
          <w:p w:rsidR="002F5C4F" w:rsidRPr="001D2D45" w:rsidRDefault="002F5C4F">
            <w:pPr>
              <w:spacing w:before="120"/>
              <w:rPr>
                <w:sz w:val="22"/>
                <w:szCs w:val="22"/>
              </w:rPr>
            </w:pP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APPEAL NOTIFIED:</w:t>
            </w:r>
          </w:p>
        </w:tc>
        <w:tc>
          <w:tcPr>
            <w:tcW w:w="5629" w:type="dxa"/>
          </w:tcPr>
          <w:p w:rsidR="002F5C4F" w:rsidRPr="001D2D45" w:rsidRDefault="002F5C4F">
            <w:pPr>
              <w:spacing w:before="120"/>
              <w:rPr>
                <w:sz w:val="22"/>
                <w:szCs w:val="22"/>
              </w:rPr>
            </w:pPr>
            <w:r w:rsidRPr="004C610D">
              <w:rPr>
                <w:noProof/>
                <w:sz w:val="22"/>
                <w:szCs w:val="22"/>
              </w:rPr>
              <w:t>11-Oct-2017</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APPEAL LODGED:</w:t>
            </w:r>
          </w:p>
        </w:tc>
        <w:tc>
          <w:tcPr>
            <w:tcW w:w="5629" w:type="dxa"/>
          </w:tcPr>
          <w:p w:rsidR="002F5C4F" w:rsidRPr="001D2D45" w:rsidRDefault="002F5C4F">
            <w:pPr>
              <w:pStyle w:val="Header"/>
              <w:tabs>
                <w:tab w:val="clear" w:pos="4153"/>
                <w:tab w:val="clear" w:pos="8306"/>
              </w:tabs>
              <w:spacing w:before="120"/>
              <w:rPr>
                <w:sz w:val="22"/>
                <w:szCs w:val="22"/>
              </w:rPr>
            </w:pPr>
            <w:r w:rsidRPr="004C610D">
              <w:rPr>
                <w:noProof/>
                <w:sz w:val="22"/>
                <w:szCs w:val="22"/>
              </w:rPr>
              <w:t>09-Oct-2017</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APPELLANT TYPE:</w:t>
            </w:r>
          </w:p>
        </w:tc>
        <w:tc>
          <w:tcPr>
            <w:tcW w:w="5629" w:type="dxa"/>
          </w:tcPr>
          <w:p w:rsidR="002F5C4F" w:rsidRPr="001D2D45" w:rsidRDefault="002F5C4F">
            <w:pPr>
              <w:spacing w:before="120"/>
              <w:rPr>
                <w:sz w:val="22"/>
                <w:szCs w:val="22"/>
              </w:rPr>
            </w:pPr>
            <w:r w:rsidRPr="004C610D">
              <w:rPr>
                <w:noProof/>
                <w:sz w:val="22"/>
                <w:szCs w:val="22"/>
              </w:rPr>
              <w:t>3RD PARTY</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NATURE OF APPEAL:</w:t>
            </w:r>
          </w:p>
        </w:tc>
        <w:tc>
          <w:tcPr>
            <w:tcW w:w="5629" w:type="dxa"/>
          </w:tcPr>
          <w:p w:rsidR="002F5C4F" w:rsidRPr="001D2D45" w:rsidRDefault="002F5C4F">
            <w:pPr>
              <w:spacing w:before="120"/>
              <w:rPr>
                <w:sz w:val="22"/>
                <w:szCs w:val="22"/>
              </w:rPr>
            </w:pPr>
            <w:r w:rsidRPr="004C610D">
              <w:rPr>
                <w:noProof/>
                <w:sz w:val="22"/>
                <w:szCs w:val="22"/>
              </w:rPr>
              <w:t>AGAINST DECISION</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COUNCILS DECISION:</w:t>
            </w:r>
          </w:p>
        </w:tc>
        <w:tc>
          <w:tcPr>
            <w:tcW w:w="5629" w:type="dxa"/>
          </w:tcPr>
          <w:p w:rsidR="002F5C4F" w:rsidRPr="001D2D45" w:rsidRDefault="002F5C4F">
            <w:pPr>
              <w:spacing w:before="120"/>
              <w:rPr>
                <w:sz w:val="22"/>
                <w:szCs w:val="22"/>
              </w:rPr>
            </w:pPr>
            <w:r w:rsidRPr="004C610D">
              <w:rPr>
                <w:noProof/>
                <w:sz w:val="22"/>
                <w:szCs w:val="22"/>
              </w:rPr>
              <w:t>GRANT PERMISSION</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APPLICANT:</w:t>
            </w:r>
          </w:p>
        </w:tc>
        <w:tc>
          <w:tcPr>
            <w:tcW w:w="5629" w:type="dxa"/>
          </w:tcPr>
          <w:p w:rsidR="002F5C4F" w:rsidRPr="001D2D45" w:rsidRDefault="002F5C4F">
            <w:pPr>
              <w:spacing w:before="120"/>
              <w:rPr>
                <w:sz w:val="22"/>
                <w:szCs w:val="22"/>
              </w:rPr>
            </w:pPr>
            <w:r w:rsidRPr="004C610D">
              <w:rPr>
                <w:noProof/>
                <w:sz w:val="22"/>
                <w:szCs w:val="22"/>
              </w:rPr>
              <w:t>Gas Networks Ireland</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LOCATION:</w:t>
            </w:r>
          </w:p>
        </w:tc>
        <w:tc>
          <w:tcPr>
            <w:tcW w:w="5629" w:type="dxa"/>
          </w:tcPr>
          <w:p w:rsidR="002F5C4F" w:rsidRPr="001D2D45" w:rsidRDefault="002F5C4F">
            <w:pPr>
              <w:spacing w:before="120"/>
              <w:rPr>
                <w:sz w:val="22"/>
                <w:szCs w:val="22"/>
              </w:rPr>
            </w:pPr>
            <w:r w:rsidRPr="004C610D">
              <w:rPr>
                <w:noProof/>
                <w:sz w:val="22"/>
                <w:szCs w:val="22"/>
              </w:rPr>
              <w:t>At a site located in the northern section of the greenspace in, Sarsfield Park, Lucan, Co. Dublin</w:t>
            </w:r>
          </w:p>
        </w:tc>
      </w:tr>
      <w:tr w:rsidR="002F5C4F" w:rsidTr="001D2D45">
        <w:tblPrEx>
          <w:tblCellMar>
            <w:top w:w="0" w:type="dxa"/>
            <w:bottom w:w="0" w:type="dxa"/>
          </w:tblCellMar>
        </w:tblPrEx>
        <w:tc>
          <w:tcPr>
            <w:tcW w:w="3227" w:type="dxa"/>
          </w:tcPr>
          <w:p w:rsidR="002F5C4F" w:rsidRPr="001D2D45" w:rsidRDefault="002F5C4F">
            <w:pPr>
              <w:spacing w:before="120"/>
              <w:jc w:val="right"/>
              <w:rPr>
                <w:sz w:val="22"/>
                <w:szCs w:val="22"/>
              </w:rPr>
            </w:pPr>
            <w:r w:rsidRPr="001D2D45">
              <w:rPr>
                <w:sz w:val="22"/>
                <w:szCs w:val="22"/>
              </w:rPr>
              <w:t>PROPOSED DEVELOPMENT:</w:t>
            </w:r>
          </w:p>
        </w:tc>
        <w:tc>
          <w:tcPr>
            <w:tcW w:w="5629" w:type="dxa"/>
          </w:tcPr>
          <w:p w:rsidR="002F5C4F" w:rsidRPr="001D2D45" w:rsidRDefault="002F5C4F">
            <w:pPr>
              <w:spacing w:before="120"/>
              <w:rPr>
                <w:sz w:val="22"/>
                <w:szCs w:val="22"/>
              </w:rPr>
            </w:pPr>
            <w:r w:rsidRPr="004C610D">
              <w:rPr>
                <w:noProof/>
                <w:sz w:val="22"/>
                <w:szCs w:val="22"/>
              </w:rPr>
              <w:t>A safety enhancement to the existing gas mains network comprising a District Regulator Installation (DRI) made up of a pressure Relief Unit (Cabinet c. 1.8m in height) and associated vent flue (up to circa 3.5m in height) as well as associated site works.</w:t>
            </w:r>
          </w:p>
        </w:tc>
      </w:tr>
    </w:tbl>
    <w:p w:rsidR="002F5C4F" w:rsidRDefault="002F5C4F">
      <w:pPr>
        <w:pBdr>
          <w:bottom w:val="single" w:sz="12" w:space="1" w:color="auto"/>
        </w:pBdr>
      </w:pPr>
    </w:p>
    <w:p w:rsidR="002F5C4F" w:rsidRDefault="002F5C4F"/>
    <w:sectPr w:rsidR="002F5C4F">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C4F" w:rsidRDefault="002F5C4F">
      <w:r>
        <w:separator/>
      </w:r>
    </w:p>
  </w:endnote>
  <w:endnote w:type="continuationSeparator" w:id="0">
    <w:p w:rsidR="002F5C4F" w:rsidRDefault="002F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C4F" w:rsidRDefault="002F5C4F">
      <w:r>
        <w:separator/>
      </w:r>
    </w:p>
  </w:footnote>
  <w:footnote w:type="continuationSeparator" w:id="0">
    <w:p w:rsidR="002F5C4F" w:rsidRDefault="002F5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2C7AC1">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731EB"/>
    <w:rsid w:val="001D2D45"/>
    <w:rsid w:val="002C7AC1"/>
    <w:rsid w:val="002F5C4F"/>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58ECA4-2697-4B7D-B376-5F2BD8FD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2017-10-18T13:01:00Z</dcterms:created>
  <dcterms:modified xsi:type="dcterms:W3CDTF">2017-10-18T13:01:00Z</dcterms:modified>
</cp:coreProperties>
</file>