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C444E">
              <w:rPr>
                <w:b/>
                <w:noProof/>
                <w:sz w:val="24"/>
                <w:szCs w:val="24"/>
              </w:rPr>
              <w:t>SD16A/0107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9F0A5A" w:rsidRPr="0053579C" w:rsidRDefault="009F0A5A">
            <w:pPr>
              <w:spacing w:before="120"/>
              <w:rPr>
                <w:sz w:val="24"/>
                <w:szCs w:val="24"/>
              </w:rPr>
            </w:pPr>
            <w:r w:rsidRPr="009C444E">
              <w:rPr>
                <w:b/>
                <w:noProof/>
                <w:sz w:val="24"/>
                <w:szCs w:val="24"/>
              </w:rPr>
              <w:t>PL06S.246792</w:t>
            </w:r>
          </w:p>
        </w:tc>
        <w:tc>
          <w:tcPr>
            <w:tcW w:w="243" w:type="dxa"/>
          </w:tcPr>
          <w:p w:rsidR="009F0A5A" w:rsidRPr="0053579C" w:rsidRDefault="009F0A5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sz w:val="24"/>
                <w:szCs w:val="24"/>
              </w:rPr>
            </w:pPr>
            <w:r w:rsidRPr="009C444E">
              <w:rPr>
                <w:noProof/>
                <w:sz w:val="24"/>
                <w:szCs w:val="24"/>
              </w:rPr>
              <w:t>13-Oct-2016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C444E">
              <w:rPr>
                <w:noProof/>
                <w:sz w:val="24"/>
                <w:szCs w:val="24"/>
              </w:rPr>
              <w:t>3RD PARTY</w:t>
            </w: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b/>
                <w:sz w:val="24"/>
                <w:szCs w:val="24"/>
              </w:rPr>
            </w:pPr>
            <w:r w:rsidRPr="009C444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sz w:val="24"/>
                <w:szCs w:val="24"/>
              </w:rPr>
            </w:pPr>
            <w:r w:rsidRPr="009C444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sz w:val="24"/>
                <w:szCs w:val="24"/>
              </w:rPr>
            </w:pPr>
            <w:r w:rsidRPr="009C444E">
              <w:rPr>
                <w:noProof/>
                <w:sz w:val="24"/>
                <w:szCs w:val="24"/>
              </w:rPr>
              <w:t>Regal Estates</w:t>
            </w: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sz w:val="24"/>
                <w:szCs w:val="24"/>
              </w:rPr>
            </w:pPr>
            <w:r w:rsidRPr="009C444E">
              <w:rPr>
                <w:noProof/>
                <w:sz w:val="24"/>
                <w:szCs w:val="24"/>
              </w:rPr>
              <w:t>Junction of Bothar na Life and Estate Road E, (east of Arc Cafe &amp; Bar, west of Liffey Valley Motor Mall), Clondalkin, Dublin 22</w:t>
            </w:r>
          </w:p>
        </w:tc>
      </w:tr>
      <w:tr w:rsidR="009F0A5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F0A5A" w:rsidRPr="0053579C" w:rsidRDefault="009F0A5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F0A5A" w:rsidRPr="0053579C" w:rsidRDefault="009F0A5A">
            <w:pPr>
              <w:spacing w:before="120"/>
              <w:rPr>
                <w:sz w:val="24"/>
                <w:szCs w:val="24"/>
              </w:rPr>
            </w:pPr>
            <w:r w:rsidRPr="009C444E">
              <w:rPr>
                <w:noProof/>
                <w:sz w:val="24"/>
                <w:szCs w:val="24"/>
              </w:rPr>
              <w:t>Construction of 4 detached single storey restaurant/cafe units with drive-thru' facilities (Block 1 - 298 sqm, Block 2 - 270sq.m, Block 3 - 185sq.m and Block 4 - 195sq.m) with attached and freestanding signage, served by on-grade car parking for 79 cars (9 of which shall be electric car spaces) and 11 bicycle spaces. ESB substation and switch room, landscaping, centralised pedestrian canopy/pergola and associated site works and drainage, all at site of 6,075sq.m. The vehicular entrance will be from the Estate Road E. It is also proposed to provide a dedicated crossing for pedestrians and cyclists on Estate Road E.</w:t>
            </w:r>
          </w:p>
        </w:tc>
      </w:tr>
    </w:tbl>
    <w:p w:rsidR="009F0A5A" w:rsidRDefault="009F0A5A">
      <w:pPr>
        <w:pBdr>
          <w:bottom w:val="single" w:sz="12" w:space="1" w:color="auto"/>
        </w:pBdr>
      </w:pPr>
    </w:p>
    <w:p w:rsidR="009F0A5A" w:rsidRDefault="009F0A5A"/>
    <w:sectPr w:rsidR="009F0A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5A" w:rsidRDefault="009F0A5A">
      <w:r>
        <w:separator/>
      </w:r>
    </w:p>
  </w:endnote>
  <w:endnote w:type="continuationSeparator" w:id="0">
    <w:p w:rsidR="009F0A5A" w:rsidRDefault="009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5A" w:rsidRDefault="009F0A5A">
      <w:r>
        <w:separator/>
      </w:r>
    </w:p>
  </w:footnote>
  <w:footnote w:type="continuationSeparator" w:id="0">
    <w:p w:rsidR="009F0A5A" w:rsidRDefault="009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26BF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9F0A5A"/>
    <w:rsid w:val="00A26BFC"/>
    <w:rsid w:val="00EF4B6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AC958-3B9B-4F6D-B832-01582DB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26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6B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2016-10-19T13:09:00Z</cp:lastPrinted>
  <dcterms:created xsi:type="dcterms:W3CDTF">2016-10-19T13:10:00Z</dcterms:created>
  <dcterms:modified xsi:type="dcterms:W3CDTF">2016-10-19T13:10:00Z</dcterms:modified>
</cp:coreProperties>
</file>