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814"/>
        <w:gridCol w:w="2815"/>
      </w:tblGrid>
      <w:tr w:rsidR="00676B84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76B84" w:rsidRDefault="00676B84">
            <w:pPr>
              <w:spacing w:before="120"/>
              <w:rPr>
                <w:b/>
              </w:rPr>
            </w:pPr>
            <w:bookmarkStart w:id="0" w:name="_GoBack"/>
            <w:bookmarkEnd w:id="0"/>
            <w:r w:rsidRPr="00D60D4B">
              <w:rPr>
                <w:b/>
                <w:noProof/>
              </w:rPr>
              <w:t>SD15A/0105</w:t>
            </w:r>
          </w:p>
        </w:tc>
        <w:tc>
          <w:tcPr>
            <w:tcW w:w="5629" w:type="dxa"/>
            <w:gridSpan w:val="2"/>
          </w:tcPr>
          <w:p w:rsidR="00676B84" w:rsidRDefault="00676B84">
            <w:pPr>
              <w:spacing w:before="120"/>
              <w:rPr>
                <w:b/>
              </w:rPr>
            </w:pPr>
          </w:p>
        </w:tc>
      </w:tr>
      <w:tr w:rsidR="00676B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27" w:type="dxa"/>
          </w:tcPr>
          <w:p w:rsidR="00676B84" w:rsidRDefault="00676B84">
            <w:pPr>
              <w:spacing w:before="120"/>
              <w:jc w:val="right"/>
            </w:pPr>
            <w:r>
              <w:t>AN BORD PLEANALA REF. NO.:</w:t>
            </w:r>
          </w:p>
        </w:tc>
        <w:tc>
          <w:tcPr>
            <w:tcW w:w="2814" w:type="dxa"/>
          </w:tcPr>
          <w:p w:rsidR="00676B84" w:rsidRDefault="00676B84">
            <w:pPr>
              <w:spacing w:before="120"/>
            </w:pPr>
            <w:r w:rsidRPr="00D60D4B">
              <w:rPr>
                <w:b/>
                <w:noProof/>
              </w:rPr>
              <w:t>LV 06S.LV3280</w:t>
            </w:r>
          </w:p>
        </w:tc>
        <w:tc>
          <w:tcPr>
            <w:tcW w:w="2815" w:type="dxa"/>
          </w:tcPr>
          <w:p w:rsidR="00676B84" w:rsidRDefault="00676B84">
            <w:pPr>
              <w:pStyle w:val="Heading1"/>
              <w:jc w:val="left"/>
            </w:pPr>
          </w:p>
        </w:tc>
      </w:tr>
      <w:tr w:rsidR="00676B84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76B84" w:rsidRDefault="00676B84">
            <w:pPr>
              <w:spacing w:before="120"/>
              <w:jc w:val="right"/>
            </w:pPr>
            <w:r>
              <w:t>APPEAL DECIDED:</w:t>
            </w:r>
          </w:p>
        </w:tc>
        <w:tc>
          <w:tcPr>
            <w:tcW w:w="5629" w:type="dxa"/>
            <w:gridSpan w:val="2"/>
          </w:tcPr>
          <w:p w:rsidR="00676B84" w:rsidRDefault="00676B84">
            <w:pPr>
              <w:spacing w:before="120"/>
            </w:pPr>
            <w:r w:rsidRPr="00D60D4B">
              <w:rPr>
                <w:noProof/>
              </w:rPr>
              <w:t>07-Mar-2016</w:t>
            </w:r>
            <w:r>
              <w:t xml:space="preserve">        </w:t>
            </w:r>
          </w:p>
        </w:tc>
      </w:tr>
      <w:tr w:rsidR="00676B84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76B84" w:rsidRDefault="00676B84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629" w:type="dxa"/>
            <w:gridSpan w:val="2"/>
          </w:tcPr>
          <w:p w:rsidR="00676B84" w:rsidRDefault="00676B84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 w:rsidRPr="00D60D4B">
              <w:rPr>
                <w:noProof/>
              </w:rPr>
              <w:t>3RD PARTY</w:t>
            </w:r>
          </w:p>
        </w:tc>
      </w:tr>
      <w:tr w:rsidR="00676B84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76B84" w:rsidRDefault="00676B84">
            <w:pPr>
              <w:spacing w:before="120"/>
              <w:jc w:val="right"/>
            </w:pPr>
            <w:r>
              <w:t>APPEAL DECISION:</w:t>
            </w:r>
          </w:p>
        </w:tc>
        <w:tc>
          <w:tcPr>
            <w:tcW w:w="5629" w:type="dxa"/>
            <w:gridSpan w:val="2"/>
          </w:tcPr>
          <w:p w:rsidR="00676B84" w:rsidRDefault="00676B84">
            <w:pPr>
              <w:spacing w:before="120"/>
            </w:pPr>
            <w:r w:rsidRPr="00D60D4B">
              <w:rPr>
                <w:noProof/>
              </w:rPr>
              <w:t>Grant Leave to Appeal</w:t>
            </w:r>
          </w:p>
        </w:tc>
      </w:tr>
      <w:tr w:rsidR="00676B84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76B84" w:rsidRDefault="00676B84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629" w:type="dxa"/>
            <w:gridSpan w:val="2"/>
          </w:tcPr>
          <w:p w:rsidR="00676B84" w:rsidRDefault="00676B84">
            <w:pPr>
              <w:spacing w:before="120"/>
            </w:pPr>
            <w:r w:rsidRPr="00D60D4B">
              <w:rPr>
                <w:noProof/>
              </w:rPr>
              <w:t>GRANT PERMISSION</w:t>
            </w:r>
          </w:p>
        </w:tc>
      </w:tr>
      <w:tr w:rsidR="00676B84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76B84" w:rsidRDefault="00676B84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629" w:type="dxa"/>
            <w:gridSpan w:val="2"/>
          </w:tcPr>
          <w:p w:rsidR="00676B84" w:rsidRDefault="00676B84">
            <w:pPr>
              <w:spacing w:before="120"/>
            </w:pPr>
            <w:r w:rsidRPr="00D60D4B">
              <w:rPr>
                <w:noProof/>
              </w:rPr>
              <w:t>Pathway Homes Ltd.</w:t>
            </w:r>
          </w:p>
        </w:tc>
      </w:tr>
      <w:tr w:rsidR="00676B84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76B84" w:rsidRDefault="00676B84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629" w:type="dxa"/>
            <w:gridSpan w:val="2"/>
          </w:tcPr>
          <w:p w:rsidR="00676B84" w:rsidRDefault="00676B84">
            <w:pPr>
              <w:spacing w:before="120"/>
            </w:pPr>
            <w:r w:rsidRPr="00D60D4B">
              <w:rPr>
                <w:noProof/>
              </w:rPr>
              <w:t>Cloverhill Road, Dublin 22</w:t>
            </w:r>
          </w:p>
        </w:tc>
      </w:tr>
      <w:tr w:rsidR="00676B84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76B84" w:rsidRDefault="00676B84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629" w:type="dxa"/>
            <w:gridSpan w:val="2"/>
          </w:tcPr>
          <w:p w:rsidR="00676B84" w:rsidRDefault="00676B84">
            <w:pPr>
              <w:spacing w:before="120"/>
            </w:pPr>
            <w:r w:rsidRPr="00D60D4B">
              <w:rPr>
                <w:noProof/>
              </w:rPr>
              <w:t>(1) a new access roadway into the site from Cloverhill Road;  (2) a new single-storey changing facility for Ballyfermot Utd. Sports &amp; Social Club including new vehicular and pedestrian access gates to the club grounds from the new access road and parking for 37 cars and 2 buses and  (3) residential development of 43 no. 2-storey dwellings including 44 car spaces and comprising 4 Type A 3-bedroom semi-detached houses, 19 Type B 3-bedroom terraced houses, 16 Type C 3-bedroom terraced houses and 4 Type D 2-bedroom  terraced houses. The proposed development also includes all associated landscaping, site development and infrastructural works.</w:t>
            </w:r>
          </w:p>
        </w:tc>
      </w:tr>
    </w:tbl>
    <w:p w:rsidR="00676B84" w:rsidRDefault="00676B84">
      <w:pPr>
        <w:pBdr>
          <w:bottom w:val="single" w:sz="12" w:space="1" w:color="auto"/>
        </w:pBdr>
      </w:pPr>
    </w:p>
    <w:p w:rsidR="00676B84" w:rsidRDefault="00676B84"/>
    <w:sectPr w:rsidR="00676B84">
      <w:headerReference w:type="default" r:id="rId6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B84" w:rsidRDefault="00676B84">
      <w:r>
        <w:separator/>
      </w:r>
    </w:p>
  </w:endnote>
  <w:endnote w:type="continuationSeparator" w:id="0">
    <w:p w:rsidR="00676B84" w:rsidRDefault="0067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B84" w:rsidRDefault="00676B84">
      <w:r>
        <w:separator/>
      </w:r>
    </w:p>
  </w:footnote>
  <w:footnote w:type="continuationSeparator" w:id="0">
    <w:p w:rsidR="00676B84" w:rsidRDefault="00676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 xml:space="preserve">DECISIONS OF AN BORD PLEANALA </w:t>
    </w:r>
    <w:r>
      <w:rPr>
        <w:b/>
      </w:rPr>
      <w:tab/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5F3E5D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3706FF"/>
    <w:rsid w:val="005F3E5D"/>
    <w:rsid w:val="00676B84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B2127-97A2-43E9-B1D8-31FE2B05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5F3E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F3E5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2016-03-16T11:05:00Z</cp:lastPrinted>
  <dcterms:created xsi:type="dcterms:W3CDTF">2016-03-16T11:05:00Z</dcterms:created>
  <dcterms:modified xsi:type="dcterms:W3CDTF">2016-03-16T11:05:00Z</dcterms:modified>
</cp:coreProperties>
</file>