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0FD" w:rsidRDefault="00C110FD"/>
    <w:tbl>
      <w:tblPr>
        <w:tblW w:w="0" w:type="auto"/>
        <w:tblLayout w:type="fixed"/>
        <w:tblLook w:val="0000" w:firstRow="0" w:lastRow="0" w:firstColumn="0" w:lastColumn="0" w:noHBand="0" w:noVBand="0"/>
      </w:tblPr>
      <w:tblGrid>
        <w:gridCol w:w="2943"/>
        <w:gridCol w:w="5913"/>
      </w:tblGrid>
      <w:tr w:rsidR="00C110FD">
        <w:tblPrEx>
          <w:tblCellMar>
            <w:top w:w="0" w:type="dxa"/>
            <w:bottom w:w="0" w:type="dxa"/>
          </w:tblCellMar>
        </w:tblPrEx>
        <w:tc>
          <w:tcPr>
            <w:tcW w:w="2943" w:type="dxa"/>
          </w:tcPr>
          <w:p w:rsidR="00C110FD" w:rsidRPr="00987119" w:rsidRDefault="00C110FD">
            <w:pPr>
              <w:spacing w:before="120"/>
              <w:rPr>
                <w:b/>
                <w:sz w:val="24"/>
                <w:szCs w:val="24"/>
              </w:rPr>
            </w:pPr>
            <w:r w:rsidRPr="00987119">
              <w:rPr>
                <w:b/>
                <w:noProof/>
                <w:sz w:val="24"/>
                <w:szCs w:val="24"/>
              </w:rPr>
              <w:t>SD15A/0301</w:t>
            </w:r>
          </w:p>
        </w:tc>
        <w:tc>
          <w:tcPr>
            <w:tcW w:w="5913" w:type="dxa"/>
          </w:tcPr>
          <w:p w:rsidR="00C110FD" w:rsidRPr="00987119" w:rsidRDefault="00C110FD">
            <w:pPr>
              <w:spacing w:before="120"/>
              <w:rPr>
                <w:sz w:val="24"/>
                <w:szCs w:val="24"/>
              </w:rPr>
            </w:pP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APPEAL NOTIFIED:</w:t>
            </w:r>
          </w:p>
        </w:tc>
        <w:tc>
          <w:tcPr>
            <w:tcW w:w="5913" w:type="dxa"/>
          </w:tcPr>
          <w:p w:rsidR="00C110FD" w:rsidRPr="00987119" w:rsidRDefault="00C110FD">
            <w:pPr>
              <w:spacing w:before="120"/>
              <w:rPr>
                <w:sz w:val="24"/>
                <w:szCs w:val="24"/>
              </w:rPr>
            </w:pPr>
            <w:r w:rsidRPr="00987119">
              <w:rPr>
                <w:noProof/>
                <w:sz w:val="24"/>
                <w:szCs w:val="24"/>
              </w:rPr>
              <w:t>23-Dec-2015</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APPEAL LODGED:</w:t>
            </w:r>
          </w:p>
        </w:tc>
        <w:tc>
          <w:tcPr>
            <w:tcW w:w="5913" w:type="dxa"/>
          </w:tcPr>
          <w:p w:rsidR="00C110FD" w:rsidRPr="00987119" w:rsidRDefault="00C110FD">
            <w:pPr>
              <w:pStyle w:val="Header"/>
              <w:tabs>
                <w:tab w:val="clear" w:pos="4153"/>
                <w:tab w:val="clear" w:pos="8306"/>
              </w:tabs>
              <w:spacing w:before="120"/>
              <w:rPr>
                <w:sz w:val="24"/>
                <w:szCs w:val="24"/>
              </w:rPr>
            </w:pPr>
            <w:r w:rsidRPr="00987119">
              <w:rPr>
                <w:noProof/>
                <w:sz w:val="24"/>
                <w:szCs w:val="24"/>
              </w:rPr>
              <w:t>21-Dec-2015</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APPELLANT TYPE:</w:t>
            </w:r>
          </w:p>
        </w:tc>
        <w:tc>
          <w:tcPr>
            <w:tcW w:w="5913" w:type="dxa"/>
          </w:tcPr>
          <w:p w:rsidR="00C110FD" w:rsidRPr="00987119" w:rsidRDefault="00C110FD" w:rsidP="00987119">
            <w:pPr>
              <w:spacing w:before="120"/>
              <w:rPr>
                <w:sz w:val="24"/>
                <w:szCs w:val="24"/>
              </w:rPr>
            </w:pPr>
            <w:r w:rsidRPr="00987119">
              <w:rPr>
                <w:noProof/>
                <w:sz w:val="24"/>
                <w:szCs w:val="24"/>
              </w:rPr>
              <w:t>1</w:t>
            </w:r>
            <w:bookmarkStart w:id="0" w:name="_GoBack"/>
            <w:bookmarkEnd w:id="0"/>
            <w:r w:rsidRPr="00987119">
              <w:rPr>
                <w:noProof/>
                <w:sz w:val="24"/>
                <w:szCs w:val="24"/>
              </w:rPr>
              <w:t>st Party</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NATURE OF APPEAL:</w:t>
            </w:r>
          </w:p>
        </w:tc>
        <w:tc>
          <w:tcPr>
            <w:tcW w:w="5913" w:type="dxa"/>
          </w:tcPr>
          <w:p w:rsidR="00C110FD" w:rsidRPr="00987119" w:rsidRDefault="00C110FD">
            <w:pPr>
              <w:spacing w:before="120"/>
              <w:rPr>
                <w:sz w:val="24"/>
                <w:szCs w:val="24"/>
              </w:rPr>
            </w:pPr>
            <w:r w:rsidRPr="00987119">
              <w:rPr>
                <w:noProof/>
                <w:sz w:val="24"/>
                <w:szCs w:val="24"/>
              </w:rPr>
              <w:t>Contributions</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COUNCILS DECISION:</w:t>
            </w:r>
          </w:p>
        </w:tc>
        <w:tc>
          <w:tcPr>
            <w:tcW w:w="5913" w:type="dxa"/>
          </w:tcPr>
          <w:p w:rsidR="00C110FD" w:rsidRPr="00987119" w:rsidRDefault="00C110FD">
            <w:pPr>
              <w:spacing w:before="120"/>
              <w:rPr>
                <w:sz w:val="24"/>
                <w:szCs w:val="24"/>
              </w:rPr>
            </w:pPr>
            <w:r w:rsidRPr="00987119">
              <w:rPr>
                <w:noProof/>
                <w:sz w:val="24"/>
                <w:szCs w:val="24"/>
              </w:rPr>
              <w:t>GRANT PERMISSION</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APPLICANT:</w:t>
            </w:r>
          </w:p>
        </w:tc>
        <w:tc>
          <w:tcPr>
            <w:tcW w:w="5913" w:type="dxa"/>
          </w:tcPr>
          <w:p w:rsidR="00C110FD" w:rsidRPr="00987119" w:rsidRDefault="00C110FD">
            <w:pPr>
              <w:spacing w:before="120"/>
              <w:rPr>
                <w:sz w:val="24"/>
                <w:szCs w:val="24"/>
              </w:rPr>
            </w:pPr>
            <w:r w:rsidRPr="00987119">
              <w:rPr>
                <w:noProof/>
                <w:sz w:val="24"/>
                <w:szCs w:val="24"/>
              </w:rPr>
              <w:t>Carechoice Lucan GP Ltd.</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LOCATION:</w:t>
            </w:r>
          </w:p>
        </w:tc>
        <w:tc>
          <w:tcPr>
            <w:tcW w:w="5913" w:type="dxa"/>
          </w:tcPr>
          <w:p w:rsidR="00C110FD" w:rsidRPr="00987119" w:rsidRDefault="00C110FD">
            <w:pPr>
              <w:spacing w:before="120"/>
              <w:rPr>
                <w:sz w:val="24"/>
                <w:szCs w:val="24"/>
              </w:rPr>
            </w:pPr>
            <w:r w:rsidRPr="00987119">
              <w:rPr>
                <w:noProof/>
                <w:sz w:val="24"/>
                <w:szCs w:val="24"/>
              </w:rPr>
              <w:t>Haydens Lane, Lucan, Co. Dublin</w:t>
            </w:r>
          </w:p>
        </w:tc>
      </w:tr>
      <w:tr w:rsidR="00C110FD">
        <w:tblPrEx>
          <w:tblCellMar>
            <w:top w:w="0" w:type="dxa"/>
            <w:bottom w:w="0" w:type="dxa"/>
          </w:tblCellMar>
        </w:tblPrEx>
        <w:tc>
          <w:tcPr>
            <w:tcW w:w="2943" w:type="dxa"/>
          </w:tcPr>
          <w:p w:rsidR="00C110FD" w:rsidRPr="00987119" w:rsidRDefault="00C110FD">
            <w:pPr>
              <w:spacing w:before="120"/>
              <w:jc w:val="right"/>
              <w:rPr>
                <w:sz w:val="24"/>
                <w:szCs w:val="24"/>
              </w:rPr>
            </w:pPr>
            <w:r w:rsidRPr="00987119">
              <w:rPr>
                <w:sz w:val="24"/>
                <w:szCs w:val="24"/>
              </w:rPr>
              <w:t>PROPOSED DEVELOPMENT:</w:t>
            </w:r>
          </w:p>
        </w:tc>
        <w:tc>
          <w:tcPr>
            <w:tcW w:w="5913" w:type="dxa"/>
          </w:tcPr>
          <w:p w:rsidR="00C110FD" w:rsidRPr="00987119" w:rsidRDefault="00C110FD">
            <w:pPr>
              <w:spacing w:before="120"/>
              <w:rPr>
                <w:sz w:val="24"/>
                <w:szCs w:val="24"/>
              </w:rPr>
            </w:pPr>
            <w:r w:rsidRPr="00987119">
              <w:rPr>
                <w:noProof/>
                <w:sz w:val="24"/>
                <w:szCs w:val="24"/>
              </w:rPr>
              <w:t>Demolition of existing 2 storey industrial/factory building (2,691sq.m) and construction of residential nursing home on lands at the former factory building, Hayden's Lane. The development will comprise 124 bedrooms (147 bed spaces) with associated ancillary/common facilities and office/administration areas. The new building will range in height from 1 storey to part 2 storey and part 3 storey. The development will also include car parking, site works, landscaping, rentention of and modification to one existing access and removal of one secondary access plus boundary treatment, upgrade to footpath along Hayden's Lane.</w:t>
            </w:r>
          </w:p>
        </w:tc>
      </w:tr>
    </w:tbl>
    <w:p w:rsidR="00C110FD" w:rsidRDefault="00C110FD">
      <w:pPr>
        <w:pBdr>
          <w:bottom w:val="single" w:sz="12" w:space="1" w:color="auto"/>
        </w:pBdr>
      </w:pPr>
    </w:p>
    <w:p w:rsidR="00C110FD" w:rsidRDefault="00C110FD"/>
    <w:sectPr w:rsidR="00C110F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0FD" w:rsidRDefault="00C110FD">
      <w:r>
        <w:separator/>
      </w:r>
    </w:p>
  </w:endnote>
  <w:endnote w:type="continuationSeparator" w:id="0">
    <w:p w:rsidR="00C110FD" w:rsidRDefault="00C1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0FD" w:rsidRDefault="00C110FD">
      <w:r>
        <w:separator/>
      </w:r>
    </w:p>
  </w:footnote>
  <w:footnote w:type="continuationSeparator" w:id="0">
    <w:p w:rsidR="00C110FD" w:rsidRDefault="00C1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r>
      <w:rPr>
        <w:b/>
      </w:rPr>
      <w:t>APPEALS NOTIFIED TO AN BORD PLEANALA</w:t>
    </w:r>
    <w:r>
      <w:rPr>
        <w:b/>
      </w:rPr>
      <w:tab/>
      <w:t xml:space="preserve">PAGE NO. </w:t>
    </w:r>
    <w:r>
      <w:rPr>
        <w:rStyle w:val="PageNumber"/>
        <w:b/>
      </w:rPr>
      <w:fldChar w:fldCharType="begin"/>
    </w:r>
    <w:r>
      <w:rPr>
        <w:rStyle w:val="PageNumber"/>
        <w:b/>
      </w:rPr>
      <w:instrText xml:space="preserve"> PAGE </w:instrText>
    </w:r>
    <w:r>
      <w:rPr>
        <w:rStyle w:val="PageNumber"/>
        <w:b/>
      </w:rPr>
      <w:fldChar w:fldCharType="separate"/>
    </w:r>
    <w:r w:rsidR="00987119">
      <w:rPr>
        <w:rStyle w:val="PageNumber"/>
        <w:b/>
        <w:noProof/>
      </w:rPr>
      <w:t>1</w:t>
    </w:r>
    <w:r>
      <w:rPr>
        <w:rStyle w:val="PageNumber"/>
        <w:b/>
      </w:rPr>
      <w:fldChar w:fldCharType="end"/>
    </w:r>
  </w:p>
  <w:p w:rsidR="000A0AAA" w:rsidRDefault="000A0AAA">
    <w:pPr>
      <w:pStyle w:val="Header"/>
      <w:pBdr>
        <w:top w:val="single" w:sz="12" w:space="1" w:color="auto"/>
        <w:left w:val="single" w:sz="12" w:space="4" w:color="auto"/>
        <w:bottom w:val="single" w:sz="12" w:space="1" w:color="auto"/>
        <w:right w:val="single" w:sz="12" w:space="4" w:color="auto"/>
      </w:pBdr>
      <w:rPr>
        <w:rStyle w:val="PageNumber"/>
        <w:b/>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Pr>
        <w:rStyle w:val="PageNumber"/>
        <w:i/>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254A9A"/>
    <w:rsid w:val="00987119"/>
    <w:rsid w:val="00C110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0A490E-01E0-4DD5-9842-3B556D14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2016-01-07T09:25:00Z</dcterms:created>
  <dcterms:modified xsi:type="dcterms:W3CDTF">2016-01-07T09:25:00Z</dcterms:modified>
</cp:coreProperties>
</file>