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838" w14:textId="77777777" w:rsidR="00FC0292" w:rsidRPr="00E032E1" w:rsidRDefault="00FC0292">
      <w:pPr>
        <w:rPr>
          <w:b/>
          <w:noProof/>
          <w:sz w:val="24"/>
          <w:szCs w:val="24"/>
          <w:lang w:val="en-GB"/>
        </w:rPr>
      </w:pPr>
      <w:r w:rsidRPr="00E032E1">
        <w:rPr>
          <w:b/>
          <w:noProof/>
          <w:sz w:val="24"/>
          <w:szCs w:val="24"/>
          <w:lang w:val="en-GB"/>
        </w:rPr>
        <w:t>Armstrong Fenton Associates</w:t>
      </w:r>
    </w:p>
    <w:p w14:paraId="11B8F6E5" w14:textId="77777777" w:rsidR="00FC0292" w:rsidRPr="00E032E1" w:rsidRDefault="00FC0292">
      <w:pPr>
        <w:rPr>
          <w:b/>
          <w:noProof/>
          <w:sz w:val="24"/>
          <w:szCs w:val="24"/>
          <w:lang w:val="en-GB"/>
        </w:rPr>
      </w:pPr>
      <w:r w:rsidRPr="00E032E1">
        <w:rPr>
          <w:b/>
          <w:noProof/>
          <w:sz w:val="24"/>
          <w:szCs w:val="24"/>
          <w:lang w:val="en-GB"/>
        </w:rPr>
        <w:t>Unit 13, The Seapoint Building</w:t>
      </w:r>
    </w:p>
    <w:p w14:paraId="7FE46E0D" w14:textId="77777777" w:rsidR="00FC0292" w:rsidRPr="00E032E1" w:rsidRDefault="00FC0292">
      <w:pPr>
        <w:rPr>
          <w:b/>
          <w:noProof/>
          <w:sz w:val="24"/>
          <w:szCs w:val="24"/>
          <w:lang w:val="en-GB"/>
        </w:rPr>
      </w:pPr>
      <w:r w:rsidRPr="00E032E1">
        <w:rPr>
          <w:b/>
          <w:noProof/>
          <w:sz w:val="24"/>
          <w:szCs w:val="24"/>
          <w:lang w:val="en-GB"/>
        </w:rPr>
        <w:t>44/45, Clontarf Road</w:t>
      </w:r>
    </w:p>
    <w:p w14:paraId="795EF822" w14:textId="77777777" w:rsidR="00FC0292" w:rsidRPr="0082411E" w:rsidRDefault="00FC0292">
      <w:pPr>
        <w:rPr>
          <w:b/>
          <w:sz w:val="24"/>
          <w:szCs w:val="24"/>
          <w:lang w:val="en-GB"/>
        </w:rPr>
      </w:pPr>
      <w:r w:rsidRPr="00E032E1">
        <w:rPr>
          <w:b/>
          <w:noProof/>
          <w:sz w:val="24"/>
          <w:szCs w:val="24"/>
          <w:lang w:val="en-GB"/>
        </w:rPr>
        <w:t>Dublin 3</w:t>
      </w:r>
    </w:p>
    <w:p w14:paraId="4B6223AA" w14:textId="77777777" w:rsidR="00FC0292" w:rsidRPr="00B76039" w:rsidRDefault="00FC0292" w:rsidP="00993D8E">
      <w:pPr>
        <w:ind w:left="2705" w:right="-1275" w:firstLine="175"/>
        <w:jc w:val="center"/>
        <w:rPr>
          <w:sz w:val="24"/>
          <w:szCs w:val="24"/>
          <w:lang w:val="en-GB"/>
        </w:rPr>
      </w:pPr>
      <w:r>
        <w:rPr>
          <w:b/>
          <w:sz w:val="24"/>
          <w:szCs w:val="24"/>
          <w:lang w:val="en-GB"/>
        </w:rPr>
        <w:t xml:space="preserve">             </w:t>
      </w:r>
      <w:r>
        <w:rPr>
          <w:b/>
          <w:sz w:val="24"/>
          <w:szCs w:val="24"/>
          <w:lang w:val="en-GB"/>
        </w:rPr>
        <w:tab/>
      </w:r>
      <w:r>
        <w:rPr>
          <w:b/>
          <w:sz w:val="24"/>
          <w:szCs w:val="24"/>
          <w:lang w:val="en-GB"/>
        </w:rPr>
        <w:tab/>
      </w:r>
      <w:r>
        <w:rPr>
          <w:b/>
          <w:sz w:val="24"/>
          <w:szCs w:val="24"/>
          <w:lang w:val="en-GB"/>
        </w:rPr>
        <w:tab/>
      </w:r>
      <w:r w:rsidRPr="00B76039">
        <w:rPr>
          <w:b/>
          <w:sz w:val="24"/>
          <w:szCs w:val="24"/>
          <w:lang w:val="en-GB"/>
        </w:rPr>
        <w:t xml:space="preserve">Date :  </w:t>
      </w:r>
      <w:r w:rsidRPr="00E032E1">
        <w:rPr>
          <w:b/>
          <w:noProof/>
          <w:sz w:val="24"/>
          <w:szCs w:val="24"/>
          <w:lang w:val="en-GB"/>
        </w:rPr>
        <w:t>15-Aug-2023</w:t>
      </w:r>
      <w:r w:rsidRPr="00B76039">
        <w:rPr>
          <w:sz w:val="24"/>
          <w:szCs w:val="24"/>
          <w:lang w:val="en-GB"/>
        </w:rPr>
        <w:tab/>
      </w:r>
    </w:p>
    <w:p w14:paraId="0EFF1F94" w14:textId="77777777" w:rsidR="00FC0292" w:rsidRPr="00B76039" w:rsidRDefault="00FC0292">
      <w:pPr>
        <w:rPr>
          <w:sz w:val="24"/>
          <w:szCs w:val="24"/>
          <w:lang w:val="en-GB"/>
        </w:rPr>
      </w:pPr>
    </w:p>
    <w:p w14:paraId="6C6B3D0A" w14:textId="77777777" w:rsidR="00FC0292" w:rsidRPr="00B76039" w:rsidRDefault="00FC0292">
      <w:pPr>
        <w:rPr>
          <w:sz w:val="24"/>
          <w:szCs w:val="24"/>
          <w:lang w:val="en-GB"/>
        </w:rPr>
      </w:pPr>
    </w:p>
    <w:p w14:paraId="6911A563" w14:textId="77777777" w:rsidR="00FC0292" w:rsidRPr="00B76039" w:rsidRDefault="00FC0292">
      <w:pPr>
        <w:rPr>
          <w:sz w:val="24"/>
          <w:szCs w:val="24"/>
          <w:lang w:val="en-GB"/>
        </w:rPr>
      </w:pPr>
    </w:p>
    <w:tbl>
      <w:tblPr>
        <w:tblW w:w="0" w:type="auto"/>
        <w:tblLayout w:type="fixed"/>
        <w:tblLook w:val="0000" w:firstRow="0" w:lastRow="0" w:firstColumn="0" w:lastColumn="0" w:noHBand="0" w:noVBand="0"/>
      </w:tblPr>
      <w:tblGrid>
        <w:gridCol w:w="2093"/>
        <w:gridCol w:w="6487"/>
      </w:tblGrid>
      <w:tr w:rsidR="00FC0292" w:rsidRPr="00B76039" w14:paraId="365EB858" w14:textId="77777777" w:rsidTr="005E6535">
        <w:tc>
          <w:tcPr>
            <w:tcW w:w="2093" w:type="dxa"/>
          </w:tcPr>
          <w:p w14:paraId="6502B170" w14:textId="77777777" w:rsidR="00FC0292" w:rsidRPr="00B76039" w:rsidRDefault="00FC0292">
            <w:pPr>
              <w:rPr>
                <w:b/>
                <w:sz w:val="24"/>
                <w:szCs w:val="24"/>
                <w:lang w:val="en-GB"/>
              </w:rPr>
            </w:pPr>
            <w:r w:rsidRPr="00B76039">
              <w:rPr>
                <w:b/>
                <w:sz w:val="24"/>
                <w:szCs w:val="24"/>
                <w:lang w:val="en-GB"/>
              </w:rPr>
              <w:t>Reg. Ref. :</w:t>
            </w:r>
          </w:p>
        </w:tc>
        <w:tc>
          <w:tcPr>
            <w:tcW w:w="6487" w:type="dxa"/>
          </w:tcPr>
          <w:p w14:paraId="335DF3CC" w14:textId="77777777" w:rsidR="00FC0292" w:rsidRPr="00B76039" w:rsidRDefault="00FC0292">
            <w:pPr>
              <w:rPr>
                <w:b/>
                <w:sz w:val="24"/>
                <w:szCs w:val="24"/>
                <w:lang w:val="en-GB"/>
              </w:rPr>
            </w:pPr>
            <w:r w:rsidRPr="00E032E1">
              <w:rPr>
                <w:b/>
                <w:noProof/>
                <w:sz w:val="24"/>
                <w:szCs w:val="24"/>
                <w:lang w:val="en-GB"/>
              </w:rPr>
              <w:t>SDZ22A/0010/C9</w:t>
            </w:r>
          </w:p>
        </w:tc>
      </w:tr>
      <w:tr w:rsidR="00FC0292" w:rsidRPr="00B76039" w14:paraId="1EAD0F64" w14:textId="77777777" w:rsidTr="005E6535">
        <w:tc>
          <w:tcPr>
            <w:tcW w:w="2093" w:type="dxa"/>
          </w:tcPr>
          <w:p w14:paraId="6AD2DCA3" w14:textId="77777777" w:rsidR="00FC0292" w:rsidRPr="00B76039" w:rsidRDefault="00FC0292">
            <w:pPr>
              <w:rPr>
                <w:b/>
                <w:sz w:val="24"/>
                <w:szCs w:val="24"/>
                <w:lang w:val="en-GB"/>
              </w:rPr>
            </w:pPr>
            <w:r w:rsidRPr="00B76039">
              <w:rPr>
                <w:b/>
                <w:sz w:val="24"/>
                <w:szCs w:val="24"/>
                <w:lang w:val="en-GB"/>
              </w:rPr>
              <w:t>Proposal :</w:t>
            </w:r>
          </w:p>
        </w:tc>
        <w:tc>
          <w:tcPr>
            <w:tcW w:w="6487" w:type="dxa"/>
          </w:tcPr>
          <w:p w14:paraId="36673CCC" w14:textId="77777777" w:rsidR="00FC0292" w:rsidRPr="00E032E1" w:rsidRDefault="00FC0292">
            <w:pPr>
              <w:rPr>
                <w:b/>
                <w:noProof/>
                <w:sz w:val="24"/>
                <w:szCs w:val="24"/>
                <w:lang w:val="en-GB"/>
              </w:rPr>
            </w:pPr>
            <w:r w:rsidRPr="00E032E1">
              <w:rPr>
                <w:b/>
                <w:noProof/>
                <w:sz w:val="24"/>
                <w:szCs w:val="24"/>
                <w:lang w:val="en-GB"/>
              </w:rPr>
              <w:t xml:space="preserve">Kelland Homes Ltd. intends to apply for permission for development on a site area of 6.3Ha, on lands within the townland of Cappagh, Dublin 22. The proposed development is located west of the Ninth Lock Road, south of the Dublin-Cork railway line, north of Cappaghmore housing estate and Whitton Avenue, and east of an existing carpark / park &amp; ride facility at the Clondalkin Fonthill train station and the R113 (Fonthill Road). The proposed development is located within the Clonburris Strategic Development Zone (SDZ), within the development areas of (I) Clonburris South East (i.e. CSE-S1 &amp; CSE-S2) and (ii) part of Clonburris Urban Centre (i.e. CUC-54), as identified in the Clonburris SDZ Planning Scheme 2019. The proposed development consists of the construction of 294 no. dwellings, creche and retail / commercial unit, which are comprised of: 118 no. 2, 3 &amp; 4 bed, 2 storey semi-detached and terraced houses, 104 no. 2 &amp; 3 bfd duplex units accommodated in 10 no. 3 storey buildings, 72 no. f' &amp; 2 bedroom apartments in 2 no. 4 &amp; 6 storey buildings, 1 no. 2 storey creche (c.520.2m2), 1 no. 2 storey retail /commercial unit (c.152.1m2).Access to the development will by via the permitted road network (under Ref. SDZ20A/0021) which provides access from the Ninth Lock Road to the east and the R113 (Fonthill Road) to the west. The proposed development will connect into the permitted Infrastructural works as approved under the Clonburris Strategic Development Zona Planning Scl1ame (2019) and permitted under Ref. SDZ20A/0021, with the proposed development connecting into the permitted surface water drainage attenuation systems i.e. 1 no. pond, 3 no. modular underground storage systems and 1 no. detention basin combined with modular underground systems. The proposed wastewater infrastructure will connect into a permitted foul pumping station and pipe network within proposed road corridors to facilitate drainage connections to future wastewater drainage infrastructure within the adjoining SOZ lands (Including future Irish Water pumping station permitted under SDZ21A/0006). The proposed development also provides for all associated site development works above and below ground, public &amp; communal open </w:t>
            </w:r>
            <w:r w:rsidRPr="00E032E1">
              <w:rPr>
                <w:b/>
                <w:noProof/>
                <w:sz w:val="24"/>
                <w:szCs w:val="24"/>
                <w:lang w:val="en-GB"/>
              </w:rPr>
              <w:lastRenderedPageBreak/>
              <w:t>spaces, hard &amp; soft landscaping and boundary treatments, surface car parking (401 no. spaces), bicycle parking (797 no. spaces), bin &amp; bicycle storage, public lighting, plant (M&amp;E), utility services &amp; 4 no. ESB sub-stations. This application is being made in accordance with the Clonburris Strategic Development Zone Planning Scheme 2019 and relates to a proposed development within the Clonburris Strategic Development Planning Scheme Area, as defined by Statutory Instrument No. 604 of 2015.</w:t>
            </w:r>
          </w:p>
          <w:p w14:paraId="31942106" w14:textId="77777777" w:rsidR="00FC0292" w:rsidRPr="00E032E1" w:rsidRDefault="00FC0292">
            <w:pPr>
              <w:rPr>
                <w:b/>
                <w:noProof/>
                <w:sz w:val="24"/>
                <w:szCs w:val="24"/>
                <w:lang w:val="en-GB"/>
              </w:rPr>
            </w:pPr>
          </w:p>
          <w:p w14:paraId="1AC39E87" w14:textId="77777777" w:rsidR="00FC0292" w:rsidRPr="00E032E1" w:rsidRDefault="00FC0292">
            <w:pPr>
              <w:rPr>
                <w:b/>
                <w:noProof/>
                <w:sz w:val="24"/>
                <w:szCs w:val="24"/>
                <w:lang w:val="en-GB"/>
              </w:rPr>
            </w:pPr>
            <w:r w:rsidRPr="00E032E1">
              <w:rPr>
                <w:b/>
                <w:noProof/>
                <w:sz w:val="24"/>
                <w:szCs w:val="24"/>
                <w:lang w:val="en-GB"/>
              </w:rPr>
              <w:t>Condition 9:</w:t>
            </w:r>
          </w:p>
          <w:p w14:paraId="5DA54F1F" w14:textId="77777777" w:rsidR="00FC0292" w:rsidRPr="00E032E1" w:rsidRDefault="00FC0292">
            <w:pPr>
              <w:rPr>
                <w:b/>
                <w:noProof/>
                <w:sz w:val="24"/>
                <w:szCs w:val="24"/>
                <w:lang w:val="en-GB"/>
              </w:rPr>
            </w:pPr>
          </w:p>
          <w:p w14:paraId="29D94D4D" w14:textId="77777777" w:rsidR="00FC0292" w:rsidRPr="00E032E1" w:rsidRDefault="00FC0292">
            <w:pPr>
              <w:rPr>
                <w:b/>
                <w:noProof/>
                <w:sz w:val="24"/>
                <w:szCs w:val="24"/>
                <w:lang w:val="en-GB"/>
              </w:rPr>
            </w:pPr>
            <w:r w:rsidRPr="00E032E1">
              <w:rPr>
                <w:b/>
                <w:noProof/>
                <w:sz w:val="24"/>
                <w:szCs w:val="24"/>
                <w:lang w:val="en-GB"/>
              </w:rPr>
              <w:t>Public Realm Facilities for Charging Electric Vehicles.</w:t>
            </w:r>
          </w:p>
          <w:p w14:paraId="1077522D" w14:textId="77777777" w:rsidR="00FC0292" w:rsidRPr="00E032E1" w:rsidRDefault="00FC0292">
            <w:pPr>
              <w:rPr>
                <w:b/>
                <w:noProof/>
                <w:sz w:val="24"/>
                <w:szCs w:val="24"/>
                <w:lang w:val="en-GB"/>
              </w:rPr>
            </w:pPr>
            <w:r w:rsidRPr="00E032E1">
              <w:rPr>
                <w:b/>
                <w:noProof/>
                <w:sz w:val="24"/>
                <w:szCs w:val="24"/>
                <w:lang w:val="en-GB"/>
              </w:rPr>
              <w:t>Prior to the commencement of development, the applicant/owner shall submit the following for the writtem agreement of the Planning Authority:</w:t>
            </w:r>
          </w:p>
          <w:p w14:paraId="4C983B99" w14:textId="77777777" w:rsidR="00FC0292" w:rsidRPr="00E032E1" w:rsidRDefault="00FC0292">
            <w:pPr>
              <w:rPr>
                <w:b/>
                <w:noProof/>
                <w:sz w:val="24"/>
                <w:szCs w:val="24"/>
                <w:lang w:val="en-GB"/>
              </w:rPr>
            </w:pPr>
            <w:r w:rsidRPr="00E032E1">
              <w:rPr>
                <w:b/>
                <w:noProof/>
                <w:sz w:val="24"/>
                <w:szCs w:val="24"/>
                <w:lang w:val="en-GB"/>
              </w:rPr>
              <w:t>(i) a revised site layout plan clearly setting out full details of the location of all proposed facilities and equipment in the public realm (whether to be offered for taking in charge or not) for charging electric vehicles, including details of the overall height, design, colour and all safety features of such equipment including isolation of power supply, and measures to provide for suitable pedestrian safety, along with completed Electrical designs to serve the development as approved prepared by competent electrical design consultants all of which have been agreed with the Council’s Roads Section, and</w:t>
            </w:r>
          </w:p>
          <w:p w14:paraId="07333FB7" w14:textId="77777777" w:rsidR="00FC0292" w:rsidRPr="00E032E1" w:rsidRDefault="00FC0292">
            <w:pPr>
              <w:rPr>
                <w:b/>
                <w:noProof/>
                <w:sz w:val="24"/>
                <w:szCs w:val="24"/>
                <w:lang w:val="en-GB"/>
              </w:rPr>
            </w:pPr>
            <w:r w:rsidRPr="00E032E1">
              <w:rPr>
                <w:b/>
                <w:noProof/>
                <w:sz w:val="24"/>
                <w:szCs w:val="24"/>
                <w:lang w:val="en-GB"/>
              </w:rPr>
              <w:t>(ii) Agreed arrangements for the operation and management of such facilities for charging electric vehicles, along with:</w:t>
            </w:r>
          </w:p>
          <w:p w14:paraId="54200EDE" w14:textId="77777777" w:rsidR="00FC0292" w:rsidRPr="00E032E1" w:rsidRDefault="00FC0292">
            <w:pPr>
              <w:rPr>
                <w:b/>
                <w:noProof/>
                <w:sz w:val="24"/>
                <w:szCs w:val="24"/>
                <w:lang w:val="en-GB"/>
              </w:rPr>
            </w:pPr>
            <w:r w:rsidRPr="00E032E1">
              <w:rPr>
                <w:b/>
                <w:noProof/>
                <w:sz w:val="24"/>
                <w:szCs w:val="24"/>
                <w:lang w:val="en-GB"/>
              </w:rPr>
              <w:t>All facilities for charging electric vehicles should be clearly marked as being designated for Electric Vehicle charging.  Appropriate signage clearly indicating the presence of a Charge Point or Points should also be erected.   All Charge Points fitted in publicly accessible areas should be capable of communicating usage data with the National Charge Point Management System and use the latest version of the Open Charge Point Protocol (OCCP). The facilities for charging electric vehicles should also support a user identification system such as Radio Frequency Identification (RFID).</w:t>
            </w:r>
          </w:p>
          <w:p w14:paraId="6CE74E1C" w14:textId="77777777" w:rsidR="00FC0292" w:rsidRPr="00E032E1" w:rsidRDefault="00FC0292">
            <w:pPr>
              <w:rPr>
                <w:b/>
                <w:noProof/>
                <w:sz w:val="24"/>
                <w:szCs w:val="24"/>
                <w:lang w:val="en-GB"/>
              </w:rPr>
            </w:pPr>
            <w:r w:rsidRPr="00E032E1">
              <w:rPr>
                <w:b/>
                <w:noProof/>
                <w:sz w:val="24"/>
                <w:szCs w:val="24"/>
                <w:lang w:val="en-GB"/>
              </w:rPr>
              <w:t>REASON: In the interests of the proper planning and sustainable development of the area, to provide for improved urban air quality, reduced noise pollution and to support the transition to a low carbon future.</w:t>
            </w:r>
          </w:p>
          <w:p w14:paraId="00AC84DB" w14:textId="77777777" w:rsidR="00FC0292" w:rsidRPr="00E032E1" w:rsidRDefault="00FC0292">
            <w:pPr>
              <w:rPr>
                <w:b/>
                <w:noProof/>
                <w:sz w:val="24"/>
                <w:szCs w:val="24"/>
                <w:lang w:val="en-GB"/>
              </w:rPr>
            </w:pPr>
          </w:p>
          <w:p w14:paraId="7571829F" w14:textId="77777777" w:rsidR="00FC0292" w:rsidRPr="00B76039" w:rsidRDefault="00FC0292">
            <w:pPr>
              <w:rPr>
                <w:b/>
                <w:sz w:val="24"/>
                <w:szCs w:val="24"/>
                <w:lang w:val="en-GB"/>
              </w:rPr>
            </w:pPr>
            <w:r w:rsidRPr="00B76039">
              <w:rPr>
                <w:sz w:val="24"/>
                <w:szCs w:val="24"/>
                <w:lang w:val="en-GB"/>
              </w:rPr>
              <w:tab/>
            </w:r>
          </w:p>
        </w:tc>
      </w:tr>
      <w:tr w:rsidR="00FC0292" w:rsidRPr="00B76039" w14:paraId="4E122097" w14:textId="77777777" w:rsidTr="005E6535">
        <w:tc>
          <w:tcPr>
            <w:tcW w:w="2093" w:type="dxa"/>
          </w:tcPr>
          <w:p w14:paraId="7034377B" w14:textId="77777777" w:rsidR="00FC0292" w:rsidRPr="00B76039" w:rsidRDefault="00FC0292">
            <w:pPr>
              <w:rPr>
                <w:b/>
                <w:sz w:val="24"/>
                <w:szCs w:val="24"/>
                <w:lang w:val="en-GB"/>
              </w:rPr>
            </w:pPr>
            <w:r w:rsidRPr="00B76039">
              <w:rPr>
                <w:b/>
                <w:sz w:val="24"/>
                <w:szCs w:val="24"/>
                <w:lang w:val="en-GB"/>
              </w:rPr>
              <w:lastRenderedPageBreak/>
              <w:t>Location :</w:t>
            </w:r>
          </w:p>
        </w:tc>
        <w:tc>
          <w:tcPr>
            <w:tcW w:w="6487" w:type="dxa"/>
          </w:tcPr>
          <w:p w14:paraId="1E4166D1" w14:textId="77777777" w:rsidR="00FC0292" w:rsidRPr="00B76039" w:rsidRDefault="00FC0292">
            <w:pPr>
              <w:rPr>
                <w:b/>
                <w:sz w:val="24"/>
                <w:szCs w:val="24"/>
                <w:lang w:val="en-GB"/>
              </w:rPr>
            </w:pPr>
            <w:r w:rsidRPr="00E032E1">
              <w:rPr>
                <w:b/>
                <w:noProof/>
                <w:sz w:val="24"/>
                <w:szCs w:val="24"/>
                <w:lang w:val="en-GB"/>
              </w:rPr>
              <w:t xml:space="preserve">The proposed development is located west of the Ninth Lock Road, south of the Dublin-Cork railway, line, north of Cappaghmore housing estate and whitton Avenue, and east </w:t>
            </w:r>
            <w:r w:rsidRPr="00E032E1">
              <w:rPr>
                <w:b/>
                <w:noProof/>
                <w:sz w:val="24"/>
                <w:szCs w:val="24"/>
                <w:lang w:val="en-GB"/>
              </w:rPr>
              <w:lastRenderedPageBreak/>
              <w:t>of an existing carpark/park, &amp; ride facility at the Clondalkin, Fonthill train statio</w:t>
            </w:r>
          </w:p>
        </w:tc>
      </w:tr>
      <w:tr w:rsidR="00FC0292" w:rsidRPr="00B76039" w14:paraId="120C384D" w14:textId="77777777" w:rsidTr="005E6535">
        <w:tc>
          <w:tcPr>
            <w:tcW w:w="2093" w:type="dxa"/>
          </w:tcPr>
          <w:p w14:paraId="28791155" w14:textId="77777777" w:rsidR="00FC0292" w:rsidRPr="00B76039" w:rsidRDefault="00FC0292">
            <w:pPr>
              <w:rPr>
                <w:b/>
                <w:sz w:val="24"/>
                <w:szCs w:val="24"/>
                <w:lang w:val="en-GB"/>
              </w:rPr>
            </w:pPr>
            <w:r w:rsidRPr="00B76039">
              <w:rPr>
                <w:b/>
                <w:sz w:val="24"/>
                <w:szCs w:val="24"/>
                <w:lang w:val="en-GB"/>
              </w:rPr>
              <w:lastRenderedPageBreak/>
              <w:t>Applicant :</w:t>
            </w:r>
          </w:p>
        </w:tc>
        <w:tc>
          <w:tcPr>
            <w:tcW w:w="6487" w:type="dxa"/>
          </w:tcPr>
          <w:p w14:paraId="479AA080" w14:textId="77777777" w:rsidR="00FC0292" w:rsidRPr="00B76039" w:rsidRDefault="00FC0292">
            <w:pPr>
              <w:rPr>
                <w:b/>
                <w:sz w:val="24"/>
                <w:szCs w:val="24"/>
                <w:lang w:val="en-GB"/>
              </w:rPr>
            </w:pPr>
            <w:r w:rsidRPr="00E032E1">
              <w:rPr>
                <w:b/>
                <w:noProof/>
                <w:sz w:val="24"/>
                <w:szCs w:val="24"/>
                <w:lang w:val="en-GB"/>
              </w:rPr>
              <w:t>Kelland Homes Ltd</w:t>
            </w:r>
          </w:p>
        </w:tc>
      </w:tr>
      <w:tr w:rsidR="00FC0292" w:rsidRPr="00B76039" w14:paraId="4221B8A3" w14:textId="77777777" w:rsidTr="005E6535">
        <w:tc>
          <w:tcPr>
            <w:tcW w:w="2093" w:type="dxa"/>
          </w:tcPr>
          <w:p w14:paraId="79D8A7BA" w14:textId="77777777" w:rsidR="00FC0292" w:rsidRPr="00B76039" w:rsidRDefault="00FC0292">
            <w:pPr>
              <w:rPr>
                <w:b/>
                <w:sz w:val="24"/>
                <w:szCs w:val="24"/>
                <w:lang w:val="en-GB"/>
              </w:rPr>
            </w:pPr>
            <w:r w:rsidRPr="00B76039">
              <w:rPr>
                <w:b/>
                <w:sz w:val="24"/>
                <w:szCs w:val="24"/>
                <w:lang w:val="en-GB"/>
              </w:rPr>
              <w:t>Application Type:</w:t>
            </w:r>
          </w:p>
        </w:tc>
        <w:tc>
          <w:tcPr>
            <w:tcW w:w="6487" w:type="dxa"/>
          </w:tcPr>
          <w:p w14:paraId="07A78EE6" w14:textId="77777777" w:rsidR="00FC0292" w:rsidRPr="00B76039" w:rsidRDefault="00FC0292">
            <w:pPr>
              <w:rPr>
                <w:b/>
                <w:sz w:val="24"/>
                <w:szCs w:val="24"/>
                <w:lang w:val="en-GB"/>
              </w:rPr>
            </w:pPr>
            <w:r w:rsidRPr="00E032E1">
              <w:rPr>
                <w:b/>
                <w:noProof/>
                <w:sz w:val="24"/>
                <w:szCs w:val="24"/>
                <w:lang w:val="en-GB"/>
              </w:rPr>
              <w:t>Compliance with Conditions</w:t>
            </w:r>
          </w:p>
        </w:tc>
      </w:tr>
    </w:tbl>
    <w:p w14:paraId="22B53011" w14:textId="77777777" w:rsidR="00FC0292" w:rsidRPr="00B76039" w:rsidRDefault="00FC0292">
      <w:pPr>
        <w:tabs>
          <w:tab w:val="left" w:pos="4536"/>
        </w:tabs>
        <w:ind w:left="1985" w:hanging="1985"/>
        <w:rPr>
          <w:sz w:val="24"/>
          <w:szCs w:val="24"/>
          <w:lang w:val="en-GB"/>
        </w:rPr>
      </w:pPr>
      <w:r w:rsidRPr="00B76039">
        <w:rPr>
          <w:b/>
          <w:sz w:val="24"/>
          <w:szCs w:val="24"/>
          <w:lang w:val="en-GB"/>
        </w:rPr>
        <w:tab/>
      </w:r>
      <w:r w:rsidRPr="00B76039">
        <w:rPr>
          <w:sz w:val="24"/>
          <w:szCs w:val="24"/>
          <w:lang w:val="en-GB"/>
        </w:rPr>
        <w:tab/>
      </w:r>
    </w:p>
    <w:p w14:paraId="1C01B067" w14:textId="77777777" w:rsidR="00FC0292" w:rsidRDefault="00FC0292">
      <w:pPr>
        <w:rPr>
          <w:sz w:val="24"/>
          <w:szCs w:val="24"/>
          <w:lang w:val="en-GB"/>
        </w:rPr>
      </w:pPr>
    </w:p>
    <w:p w14:paraId="07D92A0D" w14:textId="77777777" w:rsidR="00FC0292" w:rsidRPr="00B76039" w:rsidRDefault="00FC0292">
      <w:pPr>
        <w:rPr>
          <w:sz w:val="24"/>
          <w:szCs w:val="24"/>
          <w:lang w:val="en-GB"/>
        </w:rPr>
      </w:pPr>
      <w:r w:rsidRPr="00B76039">
        <w:rPr>
          <w:sz w:val="24"/>
          <w:szCs w:val="24"/>
          <w:lang w:val="en-GB"/>
        </w:rPr>
        <w:t>Dear Sir/Madam,</w:t>
      </w:r>
    </w:p>
    <w:p w14:paraId="312EE4E7" w14:textId="77777777" w:rsidR="00FC0292" w:rsidRPr="00B76039" w:rsidRDefault="00FC0292">
      <w:pPr>
        <w:rPr>
          <w:sz w:val="24"/>
          <w:szCs w:val="24"/>
          <w:lang w:val="en-GB"/>
        </w:rPr>
      </w:pPr>
    </w:p>
    <w:p w14:paraId="6F1043E3" w14:textId="2EA9DC91" w:rsidR="00FC0292" w:rsidRPr="00B76039" w:rsidRDefault="00FC0292">
      <w:pPr>
        <w:rPr>
          <w:sz w:val="24"/>
          <w:szCs w:val="24"/>
          <w:lang w:val="en-GB"/>
        </w:rPr>
      </w:pPr>
      <w:r w:rsidRPr="00B76039">
        <w:rPr>
          <w:sz w:val="24"/>
          <w:szCs w:val="24"/>
          <w:lang w:val="en-GB"/>
        </w:rPr>
        <w:t xml:space="preserve">I refer to your submission received on </w:t>
      </w:r>
      <w:r w:rsidRPr="00E032E1">
        <w:rPr>
          <w:noProof/>
          <w:sz w:val="24"/>
          <w:szCs w:val="24"/>
          <w:lang w:val="en-GB"/>
        </w:rPr>
        <w:t>20-Jun-2023</w:t>
      </w:r>
      <w:r w:rsidRPr="00B76039">
        <w:rPr>
          <w:sz w:val="24"/>
          <w:szCs w:val="24"/>
          <w:lang w:val="en-GB"/>
        </w:rPr>
        <w:t xml:space="preserve"> to comply with Condition No  </w:t>
      </w:r>
      <w:r w:rsidR="000729F3">
        <w:rPr>
          <w:sz w:val="24"/>
          <w:szCs w:val="24"/>
          <w:lang w:val="en-GB"/>
        </w:rPr>
        <w:t xml:space="preserve">9 </w:t>
      </w:r>
      <w:r w:rsidRPr="00B76039">
        <w:rPr>
          <w:sz w:val="24"/>
          <w:szCs w:val="24"/>
          <w:lang w:val="en-GB"/>
        </w:rPr>
        <w:t xml:space="preserve"> of Grant of Permission No. </w:t>
      </w:r>
      <w:r w:rsidR="000729F3">
        <w:rPr>
          <w:sz w:val="24"/>
          <w:szCs w:val="24"/>
          <w:lang w:val="en-GB"/>
        </w:rPr>
        <w:t xml:space="preserve">SDZ22A/0010, </w:t>
      </w:r>
      <w:r w:rsidRPr="00B76039">
        <w:rPr>
          <w:sz w:val="24"/>
          <w:szCs w:val="24"/>
          <w:lang w:val="en-GB"/>
        </w:rPr>
        <w:t xml:space="preserve"> in connection with the above.</w:t>
      </w:r>
    </w:p>
    <w:p w14:paraId="5E0950BA" w14:textId="77777777" w:rsidR="00FC0292" w:rsidRPr="00B76039" w:rsidRDefault="00FC0292">
      <w:pPr>
        <w:rPr>
          <w:sz w:val="24"/>
          <w:szCs w:val="24"/>
          <w:lang w:val="en-GB"/>
        </w:rPr>
      </w:pPr>
    </w:p>
    <w:p w14:paraId="266AD3C0" w14:textId="4DE7A647" w:rsidR="00FC0292" w:rsidRDefault="00FC0292">
      <w:pPr>
        <w:rPr>
          <w:sz w:val="24"/>
          <w:szCs w:val="24"/>
          <w:lang w:val="en-GB"/>
        </w:rPr>
      </w:pPr>
      <w:r w:rsidRPr="00B76039">
        <w:rPr>
          <w:sz w:val="24"/>
          <w:szCs w:val="24"/>
          <w:lang w:val="en-GB"/>
        </w:rPr>
        <w:t xml:space="preserve">In this regard I wish to inform you that the submission received is </w:t>
      </w:r>
      <w:r w:rsidR="000729F3">
        <w:rPr>
          <w:sz w:val="24"/>
          <w:szCs w:val="24"/>
          <w:lang w:val="en-GB"/>
        </w:rPr>
        <w:t xml:space="preserve">deemed </w:t>
      </w:r>
      <w:r w:rsidR="000729F3" w:rsidRPr="000729F3">
        <w:rPr>
          <w:b/>
          <w:bCs/>
          <w:sz w:val="24"/>
          <w:szCs w:val="24"/>
          <w:lang w:val="en-GB"/>
        </w:rPr>
        <w:t>not</w:t>
      </w:r>
      <w:r w:rsidR="000729F3">
        <w:rPr>
          <w:sz w:val="24"/>
          <w:szCs w:val="24"/>
          <w:lang w:val="en-GB"/>
        </w:rPr>
        <w:t xml:space="preserve"> compliant. </w:t>
      </w:r>
    </w:p>
    <w:p w14:paraId="78044A88" w14:textId="77777777" w:rsidR="000729F3" w:rsidRDefault="000729F3">
      <w:pPr>
        <w:rPr>
          <w:sz w:val="24"/>
          <w:szCs w:val="24"/>
          <w:lang w:val="en-GB"/>
        </w:rPr>
      </w:pPr>
    </w:p>
    <w:p w14:paraId="0565B81C" w14:textId="77777777" w:rsidR="000729F3" w:rsidRDefault="000729F3">
      <w:pPr>
        <w:rPr>
          <w:sz w:val="24"/>
          <w:szCs w:val="24"/>
          <w:lang w:val="en-GB"/>
        </w:rPr>
      </w:pPr>
    </w:p>
    <w:p w14:paraId="12CDDA85" w14:textId="77777777" w:rsidR="000729F3" w:rsidRDefault="000729F3">
      <w:pPr>
        <w:rPr>
          <w:sz w:val="24"/>
          <w:szCs w:val="24"/>
          <w:lang w:val="en-GB"/>
        </w:rPr>
      </w:pPr>
    </w:p>
    <w:p w14:paraId="31A342BD" w14:textId="065E8FC2" w:rsidR="000729F3" w:rsidRDefault="000729F3">
      <w:pPr>
        <w:rPr>
          <w:sz w:val="24"/>
          <w:szCs w:val="24"/>
          <w:lang w:val="en-GB"/>
        </w:rPr>
      </w:pPr>
      <w:r>
        <w:rPr>
          <w:sz w:val="24"/>
          <w:szCs w:val="24"/>
          <w:lang w:val="en-GB"/>
        </w:rPr>
        <w:t xml:space="preserve">Comments: </w:t>
      </w:r>
    </w:p>
    <w:p w14:paraId="2BDDAC4A" w14:textId="77777777" w:rsidR="000729F3" w:rsidRDefault="000729F3">
      <w:pPr>
        <w:rPr>
          <w:sz w:val="24"/>
          <w:szCs w:val="24"/>
          <w:lang w:val="en-GB"/>
        </w:rPr>
      </w:pPr>
    </w:p>
    <w:p w14:paraId="6D0FCC0D" w14:textId="77777777" w:rsidR="000729F3" w:rsidRDefault="000729F3">
      <w:pPr>
        <w:rPr>
          <w:sz w:val="24"/>
          <w:szCs w:val="24"/>
          <w:lang w:val="en-GB"/>
        </w:rPr>
      </w:pPr>
    </w:p>
    <w:p w14:paraId="22771AEC" w14:textId="77777777" w:rsidR="000729F3" w:rsidRDefault="000729F3">
      <w:pPr>
        <w:rPr>
          <w:sz w:val="24"/>
          <w:szCs w:val="24"/>
          <w:lang w:val="en-GB"/>
        </w:rPr>
      </w:pPr>
    </w:p>
    <w:p w14:paraId="50DE0B1A" w14:textId="6E7CEC07" w:rsidR="00762DF2" w:rsidRPr="0083066E" w:rsidRDefault="00762DF2" w:rsidP="00762DF2">
      <w:pPr>
        <w:rPr>
          <w:sz w:val="22"/>
          <w:szCs w:val="22"/>
          <w:lang w:val="en-GB"/>
        </w:rPr>
      </w:pPr>
      <w:r w:rsidRPr="0083066E">
        <w:rPr>
          <w:sz w:val="22"/>
          <w:szCs w:val="22"/>
        </w:rPr>
        <w:t>“With regard to the details submitted including;</w:t>
      </w:r>
    </w:p>
    <w:p w14:paraId="715CBE48" w14:textId="77777777" w:rsidR="00762DF2" w:rsidRPr="0083066E" w:rsidRDefault="00762DF2" w:rsidP="00762DF2">
      <w:pPr>
        <w:numPr>
          <w:ilvl w:val="0"/>
          <w:numId w:val="3"/>
        </w:numPr>
        <w:rPr>
          <w:sz w:val="22"/>
          <w:szCs w:val="22"/>
        </w:rPr>
      </w:pPr>
      <w:r w:rsidRPr="0083066E">
        <w:rPr>
          <w:sz w:val="22"/>
          <w:szCs w:val="22"/>
        </w:rPr>
        <w:t>Drawing ESB</w:t>
      </w:r>
    </w:p>
    <w:p w14:paraId="0DFCC832" w14:textId="77777777" w:rsidR="00762DF2" w:rsidRPr="0083066E" w:rsidRDefault="00762DF2" w:rsidP="00762DF2">
      <w:pPr>
        <w:numPr>
          <w:ilvl w:val="0"/>
          <w:numId w:val="3"/>
        </w:numPr>
        <w:rPr>
          <w:sz w:val="22"/>
          <w:szCs w:val="22"/>
        </w:rPr>
      </w:pPr>
      <w:r w:rsidRPr="0083066E">
        <w:rPr>
          <w:sz w:val="22"/>
          <w:szCs w:val="22"/>
        </w:rPr>
        <w:t>Drawing, ESB Zones 1, 2, 3, 4, 5, 6, 7, 8, 9</w:t>
      </w:r>
    </w:p>
    <w:p w14:paraId="3598D957" w14:textId="77777777" w:rsidR="00762DF2" w:rsidRPr="0083066E" w:rsidRDefault="00762DF2" w:rsidP="00762DF2">
      <w:pPr>
        <w:numPr>
          <w:ilvl w:val="0"/>
          <w:numId w:val="3"/>
        </w:numPr>
        <w:rPr>
          <w:sz w:val="22"/>
          <w:szCs w:val="22"/>
        </w:rPr>
      </w:pPr>
      <w:r w:rsidRPr="0083066E">
        <w:rPr>
          <w:sz w:val="22"/>
          <w:szCs w:val="22"/>
        </w:rPr>
        <w:t>Drawing, Services in Path</w:t>
      </w:r>
    </w:p>
    <w:p w14:paraId="43D6BAC4" w14:textId="77777777" w:rsidR="00762DF2" w:rsidRPr="0083066E" w:rsidRDefault="00762DF2" w:rsidP="00762DF2">
      <w:pPr>
        <w:numPr>
          <w:ilvl w:val="0"/>
          <w:numId w:val="3"/>
        </w:numPr>
        <w:rPr>
          <w:sz w:val="22"/>
          <w:szCs w:val="22"/>
        </w:rPr>
      </w:pPr>
      <w:r w:rsidRPr="0083066E">
        <w:rPr>
          <w:sz w:val="22"/>
          <w:szCs w:val="22"/>
        </w:rPr>
        <w:t>Drawing, Electirc Vehicle Charging Requirements</w:t>
      </w:r>
    </w:p>
    <w:p w14:paraId="1FC7DB14" w14:textId="77777777" w:rsidR="00762DF2" w:rsidRPr="0083066E" w:rsidRDefault="00762DF2" w:rsidP="00762DF2">
      <w:pPr>
        <w:numPr>
          <w:ilvl w:val="0"/>
          <w:numId w:val="3"/>
        </w:numPr>
        <w:rPr>
          <w:sz w:val="22"/>
          <w:szCs w:val="22"/>
        </w:rPr>
      </w:pPr>
      <w:r w:rsidRPr="0083066E">
        <w:rPr>
          <w:sz w:val="22"/>
          <w:szCs w:val="22"/>
        </w:rPr>
        <w:t>Cover letter, Armstrong Fenton, 19 June 2023</w:t>
      </w:r>
    </w:p>
    <w:p w14:paraId="512C5AFE" w14:textId="77777777" w:rsidR="00762DF2" w:rsidRPr="0083066E" w:rsidRDefault="00762DF2" w:rsidP="00762DF2">
      <w:pPr>
        <w:ind w:left="720"/>
        <w:rPr>
          <w:sz w:val="22"/>
          <w:szCs w:val="22"/>
        </w:rPr>
      </w:pPr>
    </w:p>
    <w:p w14:paraId="2DAB9C1D" w14:textId="77777777" w:rsidR="00762DF2" w:rsidRPr="0083066E" w:rsidRDefault="00762DF2" w:rsidP="00762DF2">
      <w:pPr>
        <w:rPr>
          <w:sz w:val="22"/>
          <w:szCs w:val="22"/>
        </w:rPr>
      </w:pPr>
      <w:r w:rsidRPr="0083066E">
        <w:rPr>
          <w:sz w:val="22"/>
          <w:szCs w:val="22"/>
        </w:rPr>
        <w:t>The submission is considered to be:</w:t>
      </w:r>
    </w:p>
    <w:p w14:paraId="2B90D635" w14:textId="77777777" w:rsidR="00762DF2" w:rsidRPr="0083066E" w:rsidRDefault="00762DF2" w:rsidP="00762DF2">
      <w:pPr>
        <w:rPr>
          <w:sz w:val="22"/>
          <w:szCs w:val="22"/>
        </w:rPr>
      </w:pPr>
      <w:r w:rsidRPr="0083066E">
        <w:rPr>
          <w:b/>
          <w:bCs/>
          <w:sz w:val="22"/>
          <w:szCs w:val="22"/>
        </w:rPr>
        <w:t>Not compliant with condition 9</w:t>
      </w:r>
    </w:p>
    <w:p w14:paraId="6E7688A4" w14:textId="77777777" w:rsidR="00762DF2" w:rsidRPr="0083066E" w:rsidRDefault="00762DF2" w:rsidP="00762DF2">
      <w:pPr>
        <w:rPr>
          <w:sz w:val="22"/>
          <w:szCs w:val="22"/>
        </w:rPr>
      </w:pPr>
    </w:p>
    <w:p w14:paraId="5464F02A" w14:textId="77777777" w:rsidR="00762DF2" w:rsidRPr="0083066E" w:rsidRDefault="00762DF2" w:rsidP="00762DF2">
      <w:pPr>
        <w:rPr>
          <w:i/>
          <w:iCs/>
          <w:sz w:val="22"/>
          <w:szCs w:val="22"/>
          <w:lang w:val="en-IE"/>
        </w:rPr>
      </w:pPr>
      <w:r w:rsidRPr="0083066E">
        <w:rPr>
          <w:sz w:val="22"/>
          <w:szCs w:val="22"/>
        </w:rPr>
        <w:t>The report from the Roads Department states “</w:t>
      </w:r>
      <w:r w:rsidRPr="0083066E">
        <w:rPr>
          <w:i/>
          <w:iCs/>
          <w:sz w:val="22"/>
          <w:szCs w:val="22"/>
        </w:rPr>
        <w:t xml:space="preserve">The applicant has submitted details of EV charging locations and ducting. However, no details have been submitted on </w:t>
      </w:r>
    </w:p>
    <w:p w14:paraId="3F5E6D60" w14:textId="77777777" w:rsidR="00762DF2" w:rsidRPr="0083066E" w:rsidRDefault="00762DF2" w:rsidP="00762DF2">
      <w:pPr>
        <w:ind w:left="2268" w:hanging="2268"/>
        <w:rPr>
          <w:i/>
          <w:iCs/>
          <w:noProof/>
          <w:sz w:val="22"/>
          <w:szCs w:val="22"/>
          <w:lang w:val="en-GB"/>
        </w:rPr>
      </w:pPr>
      <w:r w:rsidRPr="0083066E">
        <w:rPr>
          <w:i/>
          <w:iCs/>
          <w:noProof/>
          <w:sz w:val="22"/>
          <w:szCs w:val="22"/>
        </w:rPr>
        <w:t>“Agreed arrangements for the operation and management of such facilities for charging electric vehicles,”</w:t>
      </w:r>
    </w:p>
    <w:p w14:paraId="2496C7DB" w14:textId="77777777" w:rsidR="00762DF2" w:rsidRPr="0083066E" w:rsidRDefault="00762DF2" w:rsidP="00762DF2">
      <w:pPr>
        <w:rPr>
          <w:i/>
          <w:iCs/>
          <w:sz w:val="22"/>
          <w:szCs w:val="22"/>
          <w:lang w:val="en-IE"/>
        </w:rPr>
      </w:pPr>
      <w:r w:rsidRPr="0083066E">
        <w:rPr>
          <w:i/>
          <w:iCs/>
          <w:sz w:val="22"/>
          <w:szCs w:val="22"/>
        </w:rPr>
        <w:t>The applicant is requested to submit details on the operation and management of EV charging facilities in the public areas”.</w:t>
      </w:r>
    </w:p>
    <w:p w14:paraId="477DD714" w14:textId="77777777" w:rsidR="00762DF2" w:rsidRPr="0083066E" w:rsidRDefault="00762DF2" w:rsidP="00762DF2">
      <w:pPr>
        <w:rPr>
          <w:i/>
          <w:iCs/>
          <w:sz w:val="22"/>
          <w:szCs w:val="22"/>
          <w:lang w:val="en-IE"/>
        </w:rPr>
      </w:pPr>
    </w:p>
    <w:p w14:paraId="41B0EEC9" w14:textId="77777777" w:rsidR="00762DF2" w:rsidRPr="0083066E" w:rsidRDefault="00762DF2" w:rsidP="00762DF2">
      <w:pPr>
        <w:rPr>
          <w:sz w:val="22"/>
          <w:szCs w:val="22"/>
          <w:lang w:val="en-GB"/>
        </w:rPr>
      </w:pPr>
      <w:r w:rsidRPr="0083066E">
        <w:rPr>
          <w:sz w:val="22"/>
          <w:szCs w:val="22"/>
        </w:rPr>
        <w:t>The planning authority note that the overall layout is not compliant and these details should be agreed prior to the agreement of this condition.</w:t>
      </w:r>
    </w:p>
    <w:p w14:paraId="3BC56AAA" w14:textId="77777777" w:rsidR="00762DF2" w:rsidRPr="0083066E" w:rsidRDefault="00762DF2" w:rsidP="00762DF2">
      <w:pPr>
        <w:rPr>
          <w:sz w:val="22"/>
          <w:szCs w:val="22"/>
        </w:rPr>
      </w:pPr>
    </w:p>
    <w:p w14:paraId="1F99C6D7" w14:textId="7F5ABC3D" w:rsidR="00762DF2" w:rsidRDefault="00762DF2" w:rsidP="00762DF2">
      <w:pPr>
        <w:rPr>
          <w:sz w:val="22"/>
          <w:szCs w:val="22"/>
        </w:rPr>
      </w:pPr>
      <w:r w:rsidRPr="0083066E">
        <w:rPr>
          <w:b/>
          <w:bCs/>
          <w:sz w:val="22"/>
          <w:szCs w:val="22"/>
          <w:u w:val="single"/>
        </w:rPr>
        <w:t>Recommendation:</w:t>
      </w:r>
      <w:r w:rsidRPr="0083066E">
        <w:rPr>
          <w:sz w:val="22"/>
          <w:szCs w:val="22"/>
        </w:rPr>
        <w:t xml:space="preserve"> Not compliant with Condition 9”</w:t>
      </w:r>
    </w:p>
    <w:p w14:paraId="3DB7AA6B" w14:textId="77777777" w:rsidR="006361F8" w:rsidRDefault="006361F8" w:rsidP="00762DF2">
      <w:pPr>
        <w:rPr>
          <w:sz w:val="22"/>
          <w:szCs w:val="22"/>
        </w:rPr>
      </w:pPr>
    </w:p>
    <w:p w14:paraId="23A357E0" w14:textId="50CB2E84" w:rsidR="006361F8" w:rsidRPr="006361F8" w:rsidRDefault="006361F8" w:rsidP="00762DF2">
      <w:pPr>
        <w:rPr>
          <w:sz w:val="24"/>
          <w:szCs w:val="24"/>
        </w:rPr>
      </w:pPr>
      <w:r w:rsidRPr="006361F8">
        <w:rPr>
          <w:sz w:val="24"/>
          <w:szCs w:val="24"/>
        </w:rPr>
        <w:t>“The applicant is requested to submit details on the operation and management of EV charging facilities in the public areas. This condition cannot be compliant until C17 and other conditions regarding layout changes have been agreed.”</w:t>
      </w:r>
    </w:p>
    <w:p w14:paraId="696DD9BB" w14:textId="77777777" w:rsidR="00762DF2" w:rsidRPr="0083066E" w:rsidRDefault="00762DF2" w:rsidP="00762DF2">
      <w:pPr>
        <w:rPr>
          <w:sz w:val="22"/>
          <w:szCs w:val="22"/>
        </w:rPr>
      </w:pPr>
    </w:p>
    <w:p w14:paraId="7F2915AB" w14:textId="62351291" w:rsidR="00762DF2" w:rsidRPr="0083066E" w:rsidRDefault="00762DF2" w:rsidP="00762DF2">
      <w:pPr>
        <w:shd w:val="clear" w:color="auto" w:fill="FFFFFF"/>
        <w:rPr>
          <w:iCs/>
          <w:sz w:val="22"/>
          <w:szCs w:val="22"/>
          <w:lang w:val="en-IE"/>
        </w:rPr>
      </w:pPr>
    </w:p>
    <w:p w14:paraId="66314C1C" w14:textId="77777777" w:rsidR="00762DF2" w:rsidRPr="0083066E" w:rsidRDefault="00762DF2" w:rsidP="00762DF2">
      <w:pPr>
        <w:rPr>
          <w:sz w:val="22"/>
          <w:szCs w:val="22"/>
          <w:lang w:val="en-GB"/>
        </w:rPr>
      </w:pPr>
    </w:p>
    <w:p w14:paraId="0C41CC48" w14:textId="77777777" w:rsidR="00762DF2" w:rsidRDefault="00762DF2" w:rsidP="00762DF2"/>
    <w:p w14:paraId="53468E2B" w14:textId="77777777" w:rsidR="00762DF2" w:rsidRDefault="00762DF2" w:rsidP="00762DF2"/>
    <w:p w14:paraId="54C8E14F" w14:textId="77777777" w:rsidR="00762DF2" w:rsidRDefault="00762DF2" w:rsidP="00762DF2">
      <w:pPr>
        <w:rPr>
          <w:szCs w:val="24"/>
          <w:lang w:eastAsia="en-GB"/>
        </w:rPr>
      </w:pPr>
    </w:p>
    <w:p w14:paraId="6B4A40F8" w14:textId="77777777" w:rsidR="00FC0292" w:rsidRPr="00B76039" w:rsidRDefault="00FC0292">
      <w:pPr>
        <w:rPr>
          <w:sz w:val="24"/>
          <w:szCs w:val="24"/>
          <w:lang w:val="en-GB"/>
        </w:rPr>
      </w:pPr>
    </w:p>
    <w:p w14:paraId="1AAB4A3B" w14:textId="77777777" w:rsidR="00FC0292" w:rsidRPr="00B76039" w:rsidRDefault="00FC0292">
      <w:pPr>
        <w:rPr>
          <w:sz w:val="24"/>
          <w:szCs w:val="24"/>
          <w:lang w:val="en-GB"/>
        </w:rPr>
      </w:pPr>
    </w:p>
    <w:p w14:paraId="384B6EB5" w14:textId="77777777" w:rsidR="00FC0292" w:rsidRPr="00B76039" w:rsidRDefault="00FC0292">
      <w:pPr>
        <w:rPr>
          <w:sz w:val="24"/>
          <w:szCs w:val="24"/>
          <w:lang w:val="en-GB"/>
        </w:rPr>
      </w:pPr>
      <w:r w:rsidRPr="00B76039">
        <w:rPr>
          <w:sz w:val="24"/>
          <w:szCs w:val="24"/>
          <w:lang w:val="en-GB"/>
        </w:rPr>
        <w:t>Yours faithfully,</w:t>
      </w:r>
    </w:p>
    <w:p w14:paraId="40E2F536" w14:textId="77777777" w:rsidR="00FC0292" w:rsidRPr="00B76039" w:rsidRDefault="00FC0292">
      <w:pPr>
        <w:rPr>
          <w:sz w:val="24"/>
          <w:szCs w:val="24"/>
          <w:lang w:val="en-GB"/>
        </w:rPr>
      </w:pPr>
    </w:p>
    <w:p w14:paraId="5DE60231" w14:textId="6E843320" w:rsidR="00FC0292" w:rsidRPr="00B76039" w:rsidRDefault="000729F3">
      <w:pPr>
        <w:rPr>
          <w:sz w:val="24"/>
          <w:szCs w:val="24"/>
          <w:lang w:val="en-GB"/>
        </w:rPr>
      </w:pPr>
      <w:r>
        <w:rPr>
          <w:sz w:val="24"/>
          <w:szCs w:val="24"/>
          <w:lang w:val="en-GB"/>
        </w:rPr>
        <w:t xml:space="preserve">M.C.  </w:t>
      </w:r>
    </w:p>
    <w:p w14:paraId="5BEEE904" w14:textId="77777777" w:rsidR="00FC0292" w:rsidRPr="00B76039" w:rsidRDefault="00FC0292">
      <w:pPr>
        <w:rPr>
          <w:sz w:val="24"/>
          <w:szCs w:val="24"/>
          <w:lang w:val="en-GB"/>
        </w:rPr>
      </w:pPr>
      <w:r w:rsidRPr="00B76039">
        <w:rPr>
          <w:sz w:val="24"/>
          <w:szCs w:val="24"/>
          <w:lang w:val="en-GB"/>
        </w:rPr>
        <w:t>_</w:t>
      </w:r>
      <w:r>
        <w:rPr>
          <w:sz w:val="24"/>
          <w:szCs w:val="24"/>
          <w:lang w:val="en-GB"/>
        </w:rPr>
        <w:t>_______________</w:t>
      </w:r>
    </w:p>
    <w:p w14:paraId="776E28C6" w14:textId="77777777" w:rsidR="00FC0292" w:rsidRPr="00B76039" w:rsidRDefault="00FC0292">
      <w:pPr>
        <w:rPr>
          <w:sz w:val="24"/>
          <w:szCs w:val="24"/>
          <w:lang w:val="en-GB"/>
        </w:rPr>
      </w:pPr>
      <w:r w:rsidRPr="00B76039">
        <w:rPr>
          <w:i/>
          <w:sz w:val="24"/>
          <w:szCs w:val="24"/>
          <w:lang w:val="en-GB"/>
        </w:rPr>
        <w:t>for</w:t>
      </w:r>
      <w:r w:rsidRPr="00B76039">
        <w:rPr>
          <w:sz w:val="24"/>
          <w:szCs w:val="24"/>
          <w:lang w:val="en-GB"/>
        </w:rPr>
        <w:t xml:space="preserve"> </w:t>
      </w:r>
      <w:r w:rsidRPr="00B76039">
        <w:rPr>
          <w:b/>
          <w:sz w:val="24"/>
          <w:szCs w:val="24"/>
          <w:lang w:val="en-GB"/>
        </w:rPr>
        <w:t>S</w:t>
      </w:r>
      <w:r>
        <w:rPr>
          <w:b/>
          <w:sz w:val="24"/>
          <w:szCs w:val="24"/>
          <w:lang w:val="en-GB"/>
        </w:rPr>
        <w:t>enior Planner</w:t>
      </w:r>
    </w:p>
    <w:p w14:paraId="581F2A77" w14:textId="77777777" w:rsidR="00FC0292" w:rsidRPr="00B76039" w:rsidRDefault="00FC0292">
      <w:pPr>
        <w:rPr>
          <w:sz w:val="24"/>
          <w:szCs w:val="24"/>
          <w:lang w:val="en-GB"/>
        </w:rPr>
      </w:pPr>
    </w:p>
    <w:p w14:paraId="3EACFEDB" w14:textId="77777777" w:rsidR="00FC0292" w:rsidRPr="00B76039" w:rsidRDefault="00FC0292">
      <w:pPr>
        <w:rPr>
          <w:sz w:val="24"/>
          <w:szCs w:val="24"/>
        </w:rPr>
      </w:pPr>
    </w:p>
    <w:p w14:paraId="0DB9F96B" w14:textId="77777777" w:rsidR="00FC0292" w:rsidRPr="00B76039" w:rsidRDefault="00FC0292">
      <w:pPr>
        <w:rPr>
          <w:sz w:val="24"/>
          <w:szCs w:val="24"/>
        </w:rPr>
      </w:pPr>
    </w:p>
    <w:p w14:paraId="32A239E4" w14:textId="77777777" w:rsidR="00FC0292" w:rsidRPr="00B76039" w:rsidRDefault="00FC0292">
      <w:pPr>
        <w:rPr>
          <w:sz w:val="24"/>
          <w:szCs w:val="24"/>
        </w:rPr>
      </w:pPr>
    </w:p>
    <w:p w14:paraId="1493A644" w14:textId="77777777" w:rsidR="00FC0292" w:rsidRPr="00B76039" w:rsidRDefault="00FC0292">
      <w:pPr>
        <w:rPr>
          <w:sz w:val="24"/>
          <w:szCs w:val="24"/>
        </w:rPr>
      </w:pPr>
    </w:p>
    <w:p w14:paraId="7F5E2849" w14:textId="77777777" w:rsidR="00FC0292" w:rsidRPr="00B76039" w:rsidRDefault="00FC0292">
      <w:pPr>
        <w:rPr>
          <w:sz w:val="24"/>
          <w:szCs w:val="24"/>
        </w:rPr>
      </w:pPr>
    </w:p>
    <w:p w14:paraId="5A3C7174" w14:textId="77777777" w:rsidR="00FC0292" w:rsidRPr="00B76039" w:rsidRDefault="00FC0292">
      <w:pPr>
        <w:rPr>
          <w:sz w:val="24"/>
          <w:szCs w:val="24"/>
        </w:rPr>
      </w:pPr>
    </w:p>
    <w:p w14:paraId="5BD94F92" w14:textId="77777777" w:rsidR="00FC0292" w:rsidRPr="00B76039" w:rsidRDefault="00FC0292">
      <w:pPr>
        <w:rPr>
          <w:sz w:val="24"/>
          <w:szCs w:val="24"/>
        </w:rPr>
      </w:pPr>
    </w:p>
    <w:p w14:paraId="3ACE8B7A" w14:textId="77777777" w:rsidR="00FC0292" w:rsidRPr="00B76039" w:rsidRDefault="00FC0292">
      <w:pPr>
        <w:rPr>
          <w:sz w:val="24"/>
          <w:szCs w:val="24"/>
        </w:rPr>
      </w:pPr>
    </w:p>
    <w:p w14:paraId="20C98F54" w14:textId="77777777" w:rsidR="00FC0292" w:rsidRDefault="00FC0292">
      <w:pPr>
        <w:rPr>
          <w:sz w:val="24"/>
          <w:szCs w:val="24"/>
        </w:rPr>
        <w:sectPr w:rsidR="00FC0292" w:rsidSect="00FC0292">
          <w:headerReference w:type="default" r:id="rId7"/>
          <w:headerReference w:type="first" r:id="rId8"/>
          <w:footerReference w:type="first" r:id="rId9"/>
          <w:pgSz w:w="11908" w:h="16833"/>
          <w:pgMar w:top="2353" w:right="1276" w:bottom="1134" w:left="1418" w:header="238" w:footer="720" w:gutter="0"/>
          <w:pgNumType w:start="1"/>
          <w:cols w:space="720"/>
          <w:titlePg/>
        </w:sectPr>
      </w:pPr>
    </w:p>
    <w:p w14:paraId="6F8C5258" w14:textId="77777777" w:rsidR="00FC0292" w:rsidRPr="00B76039" w:rsidRDefault="00FC0292">
      <w:pPr>
        <w:rPr>
          <w:sz w:val="24"/>
          <w:szCs w:val="24"/>
        </w:rPr>
      </w:pPr>
    </w:p>
    <w:sectPr w:rsidR="00FC0292" w:rsidRPr="00B76039" w:rsidSect="00FC0292">
      <w:headerReference w:type="default" r:id="rId10"/>
      <w:headerReference w:type="first" r:id="rId11"/>
      <w:footerReference w:type="first" r:id="rId12"/>
      <w:type w:val="continuous"/>
      <w:pgSz w:w="11908" w:h="16833"/>
      <w:pgMar w:top="2353" w:right="1276" w:bottom="1134" w:left="1418" w:header="23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2ABC" w14:textId="77777777" w:rsidR="00FC0292" w:rsidRDefault="00FC0292">
      <w:r>
        <w:separator/>
      </w:r>
    </w:p>
  </w:endnote>
  <w:endnote w:type="continuationSeparator" w:id="0">
    <w:p w14:paraId="304B0162" w14:textId="77777777" w:rsidR="00FC0292" w:rsidRDefault="00FC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C4A7" w14:textId="77777777" w:rsidR="00FC0292" w:rsidRDefault="00FC0292">
    <w:pPr>
      <w:tabs>
        <w:tab w:val="left" w:pos="1728"/>
        <w:tab w:val="center" w:pos="6818"/>
        <w:tab w:val="right" w:pos="11908"/>
      </w:tabs>
      <w:jc w:val="center"/>
      <w:rPr>
        <w:rFonts w:ascii="Courier" w:hAnsi="Courier"/>
        <w:lang w:val="en-GB"/>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07E" w14:textId="77777777" w:rsidR="00DA1EF3" w:rsidRDefault="00DA1EF3">
    <w:pPr>
      <w:tabs>
        <w:tab w:val="left" w:pos="1728"/>
        <w:tab w:val="center" w:pos="6818"/>
        <w:tab w:val="right" w:pos="11908"/>
      </w:tabs>
      <w:jc w:val="center"/>
      <w:rPr>
        <w:rFonts w:ascii="Courier" w:hAnsi="Courier"/>
        <w:lang w:val="en-GB"/>
      </w:rPr>
    </w:pPr>
    <w:r>
      <w:rPr>
        <w:rStyle w:val="PageNumber"/>
      </w:rPr>
      <w:fldChar w:fldCharType="begin"/>
    </w:r>
    <w:r>
      <w:rPr>
        <w:rStyle w:val="PageNumber"/>
      </w:rPr>
      <w:instrText xml:space="preserve"> PAGE </w:instrText>
    </w:r>
    <w:r>
      <w:rPr>
        <w:rStyle w:val="PageNumber"/>
      </w:rPr>
      <w:fldChar w:fldCharType="separate"/>
    </w:r>
    <w:r w:rsidR="00E3644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E916" w14:textId="77777777" w:rsidR="00FC0292" w:rsidRDefault="00FC0292">
      <w:r>
        <w:separator/>
      </w:r>
    </w:p>
  </w:footnote>
  <w:footnote w:type="continuationSeparator" w:id="0">
    <w:p w14:paraId="6CE3064B" w14:textId="77777777" w:rsidR="00FC0292" w:rsidRDefault="00FC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AC03" w14:textId="77777777" w:rsidR="00FC0292" w:rsidRDefault="00FC0292">
    <w:pPr>
      <w:tabs>
        <w:tab w:val="left" w:pos="1728"/>
        <w:tab w:val="center" w:pos="6818"/>
        <w:tab w:val="right" w:pos="11908"/>
      </w:tabs>
      <w:rPr>
        <w:rFonts w:ascii="Courier" w:hAnsi="Courie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9810" w14:textId="77777777" w:rsidR="00FC0292" w:rsidRDefault="00FC0292">
    <w:pPr>
      <w:tabs>
        <w:tab w:val="left" w:pos="1728"/>
        <w:tab w:val="center" w:pos="6818"/>
        <w:tab w:val="right" w:pos="11908"/>
      </w:tabs>
      <w:rPr>
        <w:rFonts w:ascii="Courier" w:hAnsi="Courie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2310" w14:textId="77777777" w:rsidR="00DA1EF3" w:rsidRDefault="00DA1EF3">
    <w:pPr>
      <w:tabs>
        <w:tab w:val="left" w:pos="1728"/>
        <w:tab w:val="center" w:pos="6818"/>
        <w:tab w:val="right" w:pos="11908"/>
      </w:tabs>
      <w:rPr>
        <w:rFonts w:ascii="Courier" w:hAnsi="Courie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B7D5" w14:textId="77777777" w:rsidR="00DA1EF3" w:rsidRDefault="00DA1EF3">
    <w:pPr>
      <w:tabs>
        <w:tab w:val="left" w:pos="1728"/>
        <w:tab w:val="center" w:pos="6818"/>
        <w:tab w:val="right" w:pos="11908"/>
      </w:tabs>
      <w:rPr>
        <w:rFonts w:ascii="Courier" w:hAnsi="Courie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3141F4"/>
    <w:multiLevelType w:val="singleLevel"/>
    <w:tmpl w:val="A6A49552"/>
    <w:lvl w:ilvl="0">
      <w:start w:val="1"/>
      <w:numFmt w:val="decimal"/>
      <w:pStyle w:val="PacisContents"/>
      <w:lvlText w:val="%1."/>
      <w:lvlJc w:val="left"/>
      <w:pPr>
        <w:tabs>
          <w:tab w:val="num" w:pos="360"/>
        </w:tabs>
        <w:ind w:left="360" w:hanging="360"/>
      </w:pPr>
    </w:lvl>
  </w:abstractNum>
  <w:abstractNum w:abstractNumId="1" w15:restartNumberingAfterBreak="1">
    <w:nsid w:val="1FA65FE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2E15634"/>
    <w:multiLevelType w:val="hybridMultilevel"/>
    <w:tmpl w:val="FFFFFFFF"/>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num w:numId="1" w16cid:durableId="677661197">
    <w:abstractNumId w:val="0"/>
  </w:num>
  <w:num w:numId="2" w16cid:durableId="672727308">
    <w:abstractNumId w:val="1"/>
  </w:num>
  <w:num w:numId="3" w16cid:durableId="157647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EC2"/>
    <w:rsid w:val="00013E93"/>
    <w:rsid w:val="00034A6A"/>
    <w:rsid w:val="000729F3"/>
    <w:rsid w:val="00137F65"/>
    <w:rsid w:val="001978E4"/>
    <w:rsid w:val="001E00CB"/>
    <w:rsid w:val="003002B9"/>
    <w:rsid w:val="0042515B"/>
    <w:rsid w:val="004B0EC2"/>
    <w:rsid w:val="004E419F"/>
    <w:rsid w:val="00507933"/>
    <w:rsid w:val="005E6535"/>
    <w:rsid w:val="006361F8"/>
    <w:rsid w:val="007161E7"/>
    <w:rsid w:val="00762DF2"/>
    <w:rsid w:val="007657AD"/>
    <w:rsid w:val="0082411E"/>
    <w:rsid w:val="0083066E"/>
    <w:rsid w:val="00831F08"/>
    <w:rsid w:val="008B704C"/>
    <w:rsid w:val="008C5008"/>
    <w:rsid w:val="00993D8E"/>
    <w:rsid w:val="00A46E64"/>
    <w:rsid w:val="00A712FA"/>
    <w:rsid w:val="00A74D08"/>
    <w:rsid w:val="00B76039"/>
    <w:rsid w:val="00CC21A8"/>
    <w:rsid w:val="00CD6F32"/>
    <w:rsid w:val="00D24B93"/>
    <w:rsid w:val="00D64D58"/>
    <w:rsid w:val="00DA1EF3"/>
    <w:rsid w:val="00E36441"/>
    <w:rsid w:val="00E53B85"/>
    <w:rsid w:val="00E92F06"/>
    <w:rsid w:val="00F33BA2"/>
    <w:rsid w:val="00FC02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1BB65"/>
  <w15:chartTrackingRefBased/>
  <w15:docId w15:val="{8235AA86-572B-4751-B38E-CF3A7AE8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cisContents">
    <w:name w:val="Pacis Contents"/>
    <w:basedOn w:val="Normal"/>
    <w:autoRedefine/>
    <w:pPr>
      <w:numPr>
        <w:numId w:val="1"/>
      </w:numP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ehan\AppData\Roaming\Microsoft\Templates\swiftlg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swiftlg2.dot</Template>
  <TotalTime>2</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Reg</vt:lpstr>
    </vt:vector>
  </TitlesOfParts>
  <Company>Swift LG</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Ravi Kamat</dc:creator>
  <cp:keywords/>
  <cp:lastModifiedBy>Margaret Crehan</cp:lastModifiedBy>
  <cp:revision>7</cp:revision>
  <cp:lastPrinted>2013-02-12T11:13:00Z</cp:lastPrinted>
  <dcterms:created xsi:type="dcterms:W3CDTF">2023-08-15T13:08:00Z</dcterms:created>
  <dcterms:modified xsi:type="dcterms:W3CDTF">2023-08-15T13:11:00Z</dcterms:modified>
</cp:coreProperties>
</file>