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E5F5" w14:textId="77777777" w:rsidR="00463576" w:rsidRDefault="00463576" w:rsidP="00463576">
      <w:pPr>
        <w:rPr>
          <w:b/>
          <w:noProof/>
          <w:sz w:val="24"/>
          <w:szCs w:val="24"/>
          <w:lang w:val="en-GB"/>
        </w:rPr>
      </w:pPr>
      <w:r>
        <w:rPr>
          <w:b/>
          <w:noProof/>
          <w:sz w:val="24"/>
          <w:szCs w:val="24"/>
          <w:lang w:val="en-GB"/>
        </w:rPr>
        <w:t>Ryan Hanley Consulting Engineers</w:t>
      </w:r>
    </w:p>
    <w:p w14:paraId="5457B9F9" w14:textId="77777777" w:rsidR="00463576" w:rsidRDefault="00463576" w:rsidP="00463576">
      <w:pPr>
        <w:rPr>
          <w:b/>
          <w:noProof/>
          <w:sz w:val="24"/>
          <w:szCs w:val="24"/>
          <w:lang w:val="en-GB"/>
        </w:rPr>
      </w:pPr>
      <w:r>
        <w:rPr>
          <w:b/>
          <w:noProof/>
          <w:sz w:val="24"/>
          <w:szCs w:val="24"/>
          <w:lang w:val="en-GB"/>
        </w:rPr>
        <w:t>1, Galway Business Park</w:t>
      </w:r>
    </w:p>
    <w:p w14:paraId="44867AB8" w14:textId="77777777" w:rsidR="00463576" w:rsidRDefault="00463576" w:rsidP="00463576">
      <w:pPr>
        <w:rPr>
          <w:b/>
          <w:noProof/>
          <w:sz w:val="24"/>
          <w:szCs w:val="24"/>
          <w:lang w:val="en-GB"/>
        </w:rPr>
      </w:pPr>
      <w:r>
        <w:rPr>
          <w:b/>
          <w:noProof/>
          <w:sz w:val="24"/>
          <w:szCs w:val="24"/>
          <w:lang w:val="en-GB"/>
        </w:rPr>
        <w:t>Dangan</w:t>
      </w:r>
    </w:p>
    <w:p w14:paraId="761EC8F2" w14:textId="77777777" w:rsidR="00463576" w:rsidRDefault="00463576" w:rsidP="00463576">
      <w:pPr>
        <w:rPr>
          <w:b/>
          <w:noProof/>
          <w:sz w:val="24"/>
          <w:szCs w:val="24"/>
          <w:lang w:val="en-GB"/>
        </w:rPr>
      </w:pPr>
      <w:r>
        <w:rPr>
          <w:b/>
          <w:noProof/>
          <w:sz w:val="24"/>
          <w:szCs w:val="24"/>
          <w:lang w:val="en-GB"/>
        </w:rPr>
        <w:t>Co. Galway</w:t>
      </w:r>
    </w:p>
    <w:p w14:paraId="160FDF88" w14:textId="77777777" w:rsidR="00463576" w:rsidRDefault="00463576" w:rsidP="00463576">
      <w:pPr>
        <w:rPr>
          <w:b/>
          <w:sz w:val="24"/>
          <w:szCs w:val="24"/>
          <w:lang w:val="en-GB"/>
        </w:rPr>
      </w:pPr>
      <w:r>
        <w:rPr>
          <w:b/>
          <w:noProof/>
          <w:sz w:val="24"/>
          <w:szCs w:val="24"/>
          <w:lang w:val="en-GB"/>
        </w:rPr>
        <w:t>H91A3EF</w:t>
      </w:r>
    </w:p>
    <w:p w14:paraId="79FF225E" w14:textId="77777777" w:rsidR="00463576" w:rsidRDefault="00463576" w:rsidP="00463576">
      <w:pPr>
        <w:ind w:left="2705" w:right="-1275" w:firstLine="175"/>
        <w:jc w:val="center"/>
        <w:rPr>
          <w:sz w:val="24"/>
          <w:szCs w:val="24"/>
          <w:lang w:val="en-GB"/>
        </w:rPr>
      </w:pPr>
      <w:r>
        <w:rPr>
          <w:b/>
          <w:sz w:val="24"/>
          <w:szCs w:val="24"/>
          <w:lang w:val="en-GB"/>
        </w:rPr>
        <w:t xml:space="preserve">             </w:t>
      </w:r>
      <w:r>
        <w:rPr>
          <w:b/>
          <w:sz w:val="24"/>
          <w:szCs w:val="24"/>
          <w:lang w:val="en-GB"/>
        </w:rPr>
        <w:tab/>
      </w:r>
      <w:r>
        <w:rPr>
          <w:b/>
          <w:sz w:val="24"/>
          <w:szCs w:val="24"/>
          <w:lang w:val="en-GB"/>
        </w:rPr>
        <w:tab/>
      </w:r>
      <w:r>
        <w:rPr>
          <w:b/>
          <w:sz w:val="24"/>
          <w:szCs w:val="24"/>
          <w:lang w:val="en-GB"/>
        </w:rPr>
        <w:tab/>
        <w:t xml:space="preserve">Date :  </w:t>
      </w:r>
      <w:r>
        <w:rPr>
          <w:b/>
          <w:noProof/>
          <w:sz w:val="24"/>
          <w:szCs w:val="24"/>
          <w:lang w:val="en-GB"/>
        </w:rPr>
        <w:t>20-Sep-2022</w:t>
      </w:r>
      <w:r>
        <w:rPr>
          <w:sz w:val="24"/>
          <w:szCs w:val="24"/>
          <w:lang w:val="en-GB"/>
        </w:rPr>
        <w:tab/>
      </w:r>
    </w:p>
    <w:p w14:paraId="4BD678AB" w14:textId="77777777" w:rsidR="00463576" w:rsidRDefault="00463576" w:rsidP="00463576">
      <w:pPr>
        <w:rPr>
          <w:sz w:val="24"/>
          <w:szCs w:val="24"/>
          <w:lang w:val="en-GB"/>
        </w:rPr>
      </w:pPr>
    </w:p>
    <w:p w14:paraId="7DE01029" w14:textId="77777777" w:rsidR="00463576" w:rsidRDefault="00463576" w:rsidP="00463576">
      <w:pPr>
        <w:rPr>
          <w:sz w:val="24"/>
          <w:szCs w:val="24"/>
          <w:lang w:val="en-GB"/>
        </w:rPr>
      </w:pPr>
    </w:p>
    <w:p w14:paraId="17D8DF25" w14:textId="77777777" w:rsidR="00463576" w:rsidRDefault="00463576" w:rsidP="00463576">
      <w:pPr>
        <w:rPr>
          <w:sz w:val="24"/>
          <w:szCs w:val="24"/>
          <w:lang w:val="en-GB"/>
        </w:rPr>
      </w:pPr>
    </w:p>
    <w:tbl>
      <w:tblPr>
        <w:tblW w:w="0" w:type="auto"/>
        <w:tblLayout w:type="fixed"/>
        <w:tblLook w:val="04A0" w:firstRow="1" w:lastRow="0" w:firstColumn="1" w:lastColumn="0" w:noHBand="0" w:noVBand="1"/>
      </w:tblPr>
      <w:tblGrid>
        <w:gridCol w:w="2093"/>
        <w:gridCol w:w="6487"/>
      </w:tblGrid>
      <w:tr w:rsidR="00463576" w14:paraId="12B5959D" w14:textId="77777777" w:rsidTr="00463576">
        <w:tc>
          <w:tcPr>
            <w:tcW w:w="2093" w:type="dxa"/>
            <w:hideMark/>
          </w:tcPr>
          <w:p w14:paraId="75F557CB" w14:textId="77777777" w:rsidR="00463576" w:rsidRDefault="00463576">
            <w:pPr>
              <w:rPr>
                <w:b/>
                <w:sz w:val="24"/>
                <w:szCs w:val="24"/>
                <w:lang w:val="en-GB"/>
              </w:rPr>
            </w:pPr>
            <w:r>
              <w:rPr>
                <w:b/>
                <w:sz w:val="24"/>
                <w:szCs w:val="24"/>
                <w:lang w:val="en-GB"/>
              </w:rPr>
              <w:t>Reg. Ref. :</w:t>
            </w:r>
          </w:p>
        </w:tc>
        <w:tc>
          <w:tcPr>
            <w:tcW w:w="6487" w:type="dxa"/>
            <w:hideMark/>
          </w:tcPr>
          <w:p w14:paraId="60360047" w14:textId="77777777" w:rsidR="00463576" w:rsidRDefault="00463576">
            <w:pPr>
              <w:rPr>
                <w:b/>
                <w:sz w:val="24"/>
                <w:szCs w:val="24"/>
                <w:lang w:val="en-GB"/>
              </w:rPr>
            </w:pPr>
            <w:r>
              <w:rPr>
                <w:b/>
                <w:noProof/>
                <w:sz w:val="24"/>
                <w:szCs w:val="24"/>
                <w:lang w:val="en-GB"/>
              </w:rPr>
              <w:t>SD21A/0272/C8</w:t>
            </w:r>
          </w:p>
        </w:tc>
      </w:tr>
      <w:tr w:rsidR="00463576" w14:paraId="56695EA9" w14:textId="77777777" w:rsidTr="00463576">
        <w:tc>
          <w:tcPr>
            <w:tcW w:w="2093" w:type="dxa"/>
            <w:hideMark/>
          </w:tcPr>
          <w:p w14:paraId="5B395823" w14:textId="77777777" w:rsidR="00463576" w:rsidRDefault="00463576">
            <w:pPr>
              <w:rPr>
                <w:b/>
                <w:sz w:val="24"/>
                <w:szCs w:val="24"/>
                <w:lang w:val="en-GB"/>
              </w:rPr>
            </w:pPr>
            <w:r>
              <w:rPr>
                <w:b/>
                <w:sz w:val="24"/>
                <w:szCs w:val="24"/>
                <w:lang w:val="en-GB"/>
              </w:rPr>
              <w:t>Proposal :</w:t>
            </w:r>
          </w:p>
        </w:tc>
        <w:tc>
          <w:tcPr>
            <w:tcW w:w="6487" w:type="dxa"/>
            <w:hideMark/>
          </w:tcPr>
          <w:p w14:paraId="41F72815" w14:textId="77777777" w:rsidR="00463576" w:rsidRDefault="00463576">
            <w:pPr>
              <w:rPr>
                <w:b/>
                <w:noProof/>
                <w:sz w:val="24"/>
                <w:szCs w:val="24"/>
                <w:lang w:val="en-GB"/>
              </w:rPr>
            </w:pPr>
            <w:r>
              <w:rPr>
                <w:b/>
                <w:noProof/>
                <w:sz w:val="24"/>
                <w:szCs w:val="24"/>
                <w:lang w:val="en-GB"/>
              </w:rPr>
              <w:t>Demolition of existing workshop and (defunct) Activated Carbon Building adjacent the old/northern Treatment Plant Building; construction of a Sulphuric Acid Storage and Dosing Facility Building (single storey up to approximately 8.7 metres in height) adjacent the new/southern Treatment Plant Building; construction of a Lime Storage &amp; Dosing Facility Building (single storey up to approximately 11 metres in height) adjoining the old/northern Treatment Plant Building, associated external storage silos (2) with external staircase (up to approximately 12.3 metres in height) partially enveloped with a perforated metal architectural screen, and ancillary plant and equipment; reconfiguration and repurposing for use as a De-Alkalisation Plant of existing (disused) High-Lift Pump Hall within the old/northern Treatment Plant Building; construction of a new ancillary Workshop Building (single storey up to approximately 4.5 metres in height) to the rear/south of the 'old/northern Treatment Plant Building; temporary and enabling works to facilitate construction and continued / uninterrupted operation of the Treatment Plant site; associated network of underground pipelines/connections, and redirection of existing where necessary, throughout the site; provision of additional car parking (to the rear/south of the old/northern Treatment Plant Building), modification and extension of existing drainage, utility and services infrastructure and connections to serve and facilitate new and reconfigured buildings, and all other associated and ancillary development and works above and below ground level.</w:t>
            </w:r>
          </w:p>
          <w:p w14:paraId="41C980A6" w14:textId="77777777" w:rsidR="00463576" w:rsidRDefault="00463576">
            <w:pPr>
              <w:rPr>
                <w:b/>
                <w:noProof/>
                <w:sz w:val="24"/>
                <w:szCs w:val="24"/>
                <w:lang w:val="en-GB"/>
              </w:rPr>
            </w:pPr>
            <w:r>
              <w:rPr>
                <w:b/>
                <w:noProof/>
                <w:sz w:val="24"/>
                <w:szCs w:val="24"/>
                <w:lang w:val="en-GB"/>
              </w:rPr>
              <w:t>Condition 8; Roads</w:t>
            </w:r>
          </w:p>
          <w:p w14:paraId="6A594408" w14:textId="77777777" w:rsidR="00463576" w:rsidRDefault="00463576">
            <w:pPr>
              <w:rPr>
                <w:b/>
                <w:noProof/>
                <w:sz w:val="24"/>
                <w:szCs w:val="24"/>
                <w:lang w:val="en-GB"/>
              </w:rPr>
            </w:pPr>
            <w:r>
              <w:rPr>
                <w:b/>
                <w:noProof/>
                <w:sz w:val="24"/>
                <w:szCs w:val="24"/>
                <w:lang w:val="en-GB"/>
              </w:rPr>
              <w:t xml:space="preserve">(1) The proposed development shall make provision for the charging of electric vehicles. 100% of surface car parking spaces must be provided with electrical ducting and termination points to allow for the provision of future charging points, and 10% of surface car parking spaces for the proposed and existing development must be provided with electric vehicle charging points initially.  Details of how it is proposed to comply with these requirements including </w:t>
            </w:r>
            <w:r>
              <w:rPr>
                <w:b/>
                <w:noProof/>
                <w:sz w:val="24"/>
                <w:szCs w:val="24"/>
                <w:lang w:val="en-GB"/>
              </w:rPr>
              <w:lastRenderedPageBreak/>
              <w:t xml:space="preserve">details of the design of, and signage for, the electric charging points (where they are not in areas to be taken in charge) shall be submitted to, and agreed in writing with, the planning authority prior to commencement of development. </w:t>
            </w:r>
          </w:p>
          <w:p w14:paraId="7D93DE0A" w14:textId="77777777" w:rsidR="00463576" w:rsidRDefault="00463576">
            <w:pPr>
              <w:rPr>
                <w:b/>
                <w:noProof/>
                <w:sz w:val="24"/>
                <w:szCs w:val="24"/>
                <w:lang w:val="en-GB"/>
              </w:rPr>
            </w:pPr>
            <w:r>
              <w:rPr>
                <w:b/>
                <w:noProof/>
                <w:sz w:val="24"/>
                <w:szCs w:val="24"/>
                <w:lang w:val="en-GB"/>
              </w:rPr>
              <w:t xml:space="preserve">(2) Prior to commencement of development a developed Construction Traffic Management Plan shall be agreed with the Planning Authority. </w:t>
            </w:r>
          </w:p>
          <w:p w14:paraId="2CBA1E7E" w14:textId="77777777" w:rsidR="00463576" w:rsidRDefault="00463576">
            <w:pPr>
              <w:rPr>
                <w:b/>
                <w:noProof/>
                <w:sz w:val="24"/>
                <w:szCs w:val="24"/>
                <w:lang w:val="en-GB"/>
              </w:rPr>
            </w:pPr>
            <w:r>
              <w:rPr>
                <w:b/>
                <w:noProof/>
                <w:sz w:val="24"/>
                <w:szCs w:val="24"/>
                <w:lang w:val="en-GB"/>
              </w:rPr>
              <w:t>(3) A Mobility Management Plan is to be completed within six months of opening of the proposed development. The Mobility Management Plan shall be agreed with the Planning Authority.</w:t>
            </w:r>
          </w:p>
          <w:p w14:paraId="7B30A129" w14:textId="77777777" w:rsidR="00463576" w:rsidRDefault="00463576">
            <w:pPr>
              <w:rPr>
                <w:b/>
                <w:noProof/>
                <w:sz w:val="24"/>
                <w:szCs w:val="24"/>
                <w:lang w:val="en-GB"/>
              </w:rPr>
            </w:pPr>
            <w:r>
              <w:rPr>
                <w:b/>
                <w:noProof/>
                <w:sz w:val="24"/>
                <w:szCs w:val="24"/>
                <w:lang w:val="en-GB"/>
              </w:rPr>
              <w:t xml:space="preserve">(4) Prior to commencement of development, the applicant shall submit a developed Construction and Demolition Waste Management Plan shall be agreed with the Planning Authority. </w:t>
            </w:r>
          </w:p>
          <w:p w14:paraId="13A3967C" w14:textId="77777777" w:rsidR="00463576" w:rsidRDefault="00463576">
            <w:pPr>
              <w:rPr>
                <w:b/>
                <w:noProof/>
                <w:sz w:val="24"/>
                <w:szCs w:val="24"/>
                <w:lang w:val="en-GB"/>
              </w:rPr>
            </w:pPr>
            <w:r>
              <w:rPr>
                <w:b/>
                <w:noProof/>
                <w:sz w:val="24"/>
                <w:szCs w:val="24"/>
                <w:lang w:val="en-GB"/>
              </w:rPr>
              <w:t>(5) Prior to the commencement of development, the applicant shall agree in writing a public lighting scheme with South Dublin County Council Lighting Department. Once agreed, the scheme shall be constructed/installed to taking in charge standards at the expense of the developer and to the satisfaction of South Dublin County Council Lighting Department.</w:t>
            </w:r>
          </w:p>
          <w:p w14:paraId="338BAFFB" w14:textId="5D023340" w:rsidR="00A64549" w:rsidRDefault="00463576">
            <w:pPr>
              <w:rPr>
                <w:b/>
                <w:noProof/>
                <w:sz w:val="24"/>
                <w:szCs w:val="24"/>
                <w:lang w:val="en-GB"/>
              </w:rPr>
            </w:pPr>
            <w:r>
              <w:rPr>
                <w:b/>
                <w:noProof/>
                <w:sz w:val="24"/>
                <w:szCs w:val="24"/>
                <w:lang w:val="en-GB"/>
              </w:rPr>
              <w:t>REASON: In the interests of sustainable transport and protection of the amenities of the area</w:t>
            </w:r>
          </w:p>
          <w:p w14:paraId="23C70709" w14:textId="77777777" w:rsidR="00A64549" w:rsidRDefault="00A64549">
            <w:pPr>
              <w:rPr>
                <w:b/>
                <w:noProof/>
                <w:sz w:val="24"/>
                <w:szCs w:val="24"/>
                <w:lang w:val="en-GB"/>
              </w:rPr>
            </w:pPr>
          </w:p>
          <w:p w14:paraId="39002A73" w14:textId="77777777" w:rsidR="00463576" w:rsidRDefault="00463576">
            <w:pPr>
              <w:rPr>
                <w:b/>
                <w:sz w:val="24"/>
                <w:szCs w:val="24"/>
                <w:lang w:val="en-GB"/>
              </w:rPr>
            </w:pPr>
            <w:r>
              <w:rPr>
                <w:sz w:val="24"/>
                <w:szCs w:val="24"/>
                <w:lang w:val="en-GB"/>
              </w:rPr>
              <w:tab/>
            </w:r>
          </w:p>
        </w:tc>
      </w:tr>
      <w:tr w:rsidR="00463576" w14:paraId="27EED4BF" w14:textId="77777777" w:rsidTr="00463576">
        <w:tc>
          <w:tcPr>
            <w:tcW w:w="2093" w:type="dxa"/>
            <w:hideMark/>
          </w:tcPr>
          <w:p w14:paraId="23614DEA" w14:textId="77777777" w:rsidR="00463576" w:rsidRDefault="00463576">
            <w:pPr>
              <w:rPr>
                <w:b/>
                <w:sz w:val="24"/>
                <w:szCs w:val="24"/>
                <w:lang w:val="en-GB"/>
              </w:rPr>
            </w:pPr>
            <w:r>
              <w:rPr>
                <w:b/>
                <w:sz w:val="24"/>
                <w:szCs w:val="24"/>
                <w:lang w:val="en-GB"/>
              </w:rPr>
              <w:lastRenderedPageBreak/>
              <w:t>Location :</w:t>
            </w:r>
          </w:p>
        </w:tc>
        <w:tc>
          <w:tcPr>
            <w:tcW w:w="6487" w:type="dxa"/>
            <w:hideMark/>
          </w:tcPr>
          <w:p w14:paraId="66F6DFA6" w14:textId="77777777" w:rsidR="00463576" w:rsidRDefault="00463576">
            <w:pPr>
              <w:rPr>
                <w:b/>
                <w:sz w:val="24"/>
                <w:szCs w:val="24"/>
                <w:lang w:val="en-GB"/>
              </w:rPr>
            </w:pPr>
            <w:r>
              <w:rPr>
                <w:b/>
                <w:noProof/>
                <w:sz w:val="24"/>
                <w:szCs w:val="24"/>
                <w:lang w:val="en-GB"/>
              </w:rPr>
              <w:t>Leixlip Water Treatment Plant Site, Cooldrinagh &amp; Backwestonpark lands, Leixlip, Co. Dublin</w:t>
            </w:r>
          </w:p>
        </w:tc>
      </w:tr>
      <w:tr w:rsidR="00463576" w14:paraId="52018532" w14:textId="77777777" w:rsidTr="00463576">
        <w:tc>
          <w:tcPr>
            <w:tcW w:w="2093" w:type="dxa"/>
            <w:hideMark/>
          </w:tcPr>
          <w:p w14:paraId="10647D61" w14:textId="77777777" w:rsidR="00463576" w:rsidRDefault="00463576">
            <w:pPr>
              <w:rPr>
                <w:b/>
                <w:sz w:val="24"/>
                <w:szCs w:val="24"/>
                <w:lang w:val="en-GB"/>
              </w:rPr>
            </w:pPr>
            <w:r>
              <w:rPr>
                <w:b/>
                <w:sz w:val="24"/>
                <w:szCs w:val="24"/>
                <w:lang w:val="en-GB"/>
              </w:rPr>
              <w:t>Applicant :</w:t>
            </w:r>
          </w:p>
        </w:tc>
        <w:tc>
          <w:tcPr>
            <w:tcW w:w="6487" w:type="dxa"/>
            <w:hideMark/>
          </w:tcPr>
          <w:p w14:paraId="7A2AAB7B" w14:textId="77777777" w:rsidR="00463576" w:rsidRDefault="00463576">
            <w:pPr>
              <w:rPr>
                <w:b/>
                <w:sz w:val="24"/>
                <w:szCs w:val="24"/>
                <w:lang w:val="en-GB"/>
              </w:rPr>
            </w:pPr>
            <w:r>
              <w:rPr>
                <w:b/>
                <w:noProof/>
                <w:sz w:val="24"/>
                <w:szCs w:val="24"/>
                <w:lang w:val="en-GB"/>
              </w:rPr>
              <w:t>Irish Water</w:t>
            </w:r>
          </w:p>
        </w:tc>
      </w:tr>
      <w:tr w:rsidR="00463576" w14:paraId="2CD96B68" w14:textId="77777777" w:rsidTr="00463576">
        <w:tc>
          <w:tcPr>
            <w:tcW w:w="2093" w:type="dxa"/>
            <w:hideMark/>
          </w:tcPr>
          <w:p w14:paraId="1F5F9E37" w14:textId="77777777" w:rsidR="00463576" w:rsidRDefault="00463576">
            <w:pPr>
              <w:rPr>
                <w:b/>
                <w:sz w:val="24"/>
                <w:szCs w:val="24"/>
                <w:lang w:val="en-GB"/>
              </w:rPr>
            </w:pPr>
            <w:r>
              <w:rPr>
                <w:b/>
                <w:sz w:val="24"/>
                <w:szCs w:val="24"/>
                <w:lang w:val="en-GB"/>
              </w:rPr>
              <w:t>Application Type:</w:t>
            </w:r>
          </w:p>
        </w:tc>
        <w:tc>
          <w:tcPr>
            <w:tcW w:w="6487" w:type="dxa"/>
            <w:hideMark/>
          </w:tcPr>
          <w:p w14:paraId="32456FA9" w14:textId="77777777" w:rsidR="00463576" w:rsidRDefault="00463576">
            <w:pPr>
              <w:rPr>
                <w:b/>
                <w:sz w:val="24"/>
                <w:szCs w:val="24"/>
                <w:lang w:val="en-GB"/>
              </w:rPr>
            </w:pPr>
            <w:r>
              <w:rPr>
                <w:b/>
                <w:noProof/>
                <w:sz w:val="24"/>
                <w:szCs w:val="24"/>
                <w:lang w:val="en-GB"/>
              </w:rPr>
              <w:t>Compliance with Conditions</w:t>
            </w:r>
          </w:p>
        </w:tc>
      </w:tr>
    </w:tbl>
    <w:p w14:paraId="2BFA336C" w14:textId="77777777" w:rsidR="00463576" w:rsidRDefault="00463576" w:rsidP="00463576">
      <w:pPr>
        <w:tabs>
          <w:tab w:val="left" w:pos="4536"/>
        </w:tabs>
        <w:ind w:left="1985" w:hanging="1985"/>
        <w:rPr>
          <w:sz w:val="24"/>
          <w:szCs w:val="24"/>
          <w:lang w:val="en-GB"/>
        </w:rPr>
      </w:pPr>
      <w:r>
        <w:rPr>
          <w:b/>
          <w:sz w:val="24"/>
          <w:szCs w:val="24"/>
          <w:lang w:val="en-GB"/>
        </w:rPr>
        <w:tab/>
      </w:r>
      <w:r>
        <w:rPr>
          <w:sz w:val="24"/>
          <w:szCs w:val="24"/>
          <w:lang w:val="en-GB"/>
        </w:rPr>
        <w:tab/>
      </w:r>
    </w:p>
    <w:p w14:paraId="38938A61" w14:textId="77777777" w:rsidR="00463576" w:rsidRDefault="00463576" w:rsidP="00463576">
      <w:pPr>
        <w:rPr>
          <w:sz w:val="24"/>
          <w:szCs w:val="24"/>
          <w:lang w:val="en-GB"/>
        </w:rPr>
      </w:pPr>
    </w:p>
    <w:p w14:paraId="0F308468" w14:textId="77777777" w:rsidR="00463576" w:rsidRDefault="00463576" w:rsidP="00463576">
      <w:pPr>
        <w:rPr>
          <w:sz w:val="24"/>
          <w:szCs w:val="24"/>
          <w:lang w:val="en-GB"/>
        </w:rPr>
      </w:pPr>
      <w:r>
        <w:rPr>
          <w:sz w:val="24"/>
          <w:szCs w:val="24"/>
          <w:lang w:val="en-GB"/>
        </w:rPr>
        <w:t>Dear Sir/Madam,</w:t>
      </w:r>
    </w:p>
    <w:p w14:paraId="5354431A" w14:textId="77777777" w:rsidR="00463576" w:rsidRDefault="00463576" w:rsidP="00463576">
      <w:pPr>
        <w:rPr>
          <w:sz w:val="24"/>
          <w:szCs w:val="24"/>
          <w:lang w:val="en-GB"/>
        </w:rPr>
      </w:pPr>
    </w:p>
    <w:p w14:paraId="629F148F" w14:textId="77777777" w:rsidR="00463576" w:rsidRDefault="00463576" w:rsidP="00463576">
      <w:pPr>
        <w:rPr>
          <w:sz w:val="24"/>
          <w:szCs w:val="24"/>
          <w:lang w:val="en-GB"/>
        </w:rPr>
      </w:pPr>
      <w:r>
        <w:rPr>
          <w:sz w:val="24"/>
          <w:szCs w:val="24"/>
          <w:lang w:val="en-GB"/>
        </w:rPr>
        <w:t xml:space="preserve">With reference to the above, I wish to acknowledge receipt of your submission in compliance with condition (s) of the planning permission, received on 26/07/22. </w:t>
      </w:r>
    </w:p>
    <w:p w14:paraId="0BE4A32B" w14:textId="77777777" w:rsidR="00463576" w:rsidRDefault="00463576" w:rsidP="00463576">
      <w:pPr>
        <w:rPr>
          <w:sz w:val="24"/>
          <w:szCs w:val="24"/>
          <w:lang w:val="en-GB"/>
        </w:rPr>
      </w:pPr>
    </w:p>
    <w:p w14:paraId="7994CE57" w14:textId="06EC9AF6" w:rsidR="00025E73" w:rsidRDefault="00463576" w:rsidP="00463576">
      <w:pPr>
        <w:rPr>
          <w:sz w:val="24"/>
          <w:szCs w:val="24"/>
          <w:lang w:val="en-GB"/>
        </w:rPr>
      </w:pPr>
      <w:r>
        <w:rPr>
          <w:sz w:val="24"/>
          <w:szCs w:val="24"/>
          <w:lang w:val="en-GB"/>
        </w:rPr>
        <w:t xml:space="preserve">Compliance is partially agreed. </w:t>
      </w:r>
      <w:r w:rsidR="002563FF" w:rsidRPr="002563FF">
        <w:rPr>
          <w:sz w:val="24"/>
          <w:szCs w:val="24"/>
          <w:lang w:val="en-GB"/>
        </w:rPr>
        <w:t>The submission is compliant with regards parts (1), (2), (4) and (5). A Mobility Plan is required to be submitted six months after completion in order to comply with part 3.</w:t>
      </w:r>
    </w:p>
    <w:p w14:paraId="52AF734B" w14:textId="77777777" w:rsidR="00025E73" w:rsidRDefault="00025E73" w:rsidP="00463576">
      <w:pPr>
        <w:rPr>
          <w:sz w:val="24"/>
          <w:szCs w:val="24"/>
          <w:lang w:val="en-GB"/>
        </w:rPr>
      </w:pPr>
    </w:p>
    <w:p w14:paraId="408741D2" w14:textId="77777777" w:rsidR="00463576" w:rsidRDefault="00463576" w:rsidP="00463576">
      <w:pPr>
        <w:rPr>
          <w:sz w:val="24"/>
          <w:szCs w:val="24"/>
          <w:lang w:val="en-GB"/>
        </w:rPr>
      </w:pPr>
    </w:p>
    <w:p w14:paraId="1FF4FF2A" w14:textId="77777777" w:rsidR="00463576" w:rsidRDefault="00463576" w:rsidP="00463576">
      <w:pPr>
        <w:rPr>
          <w:sz w:val="24"/>
          <w:szCs w:val="24"/>
          <w:lang w:val="en-GB"/>
        </w:rPr>
      </w:pPr>
      <w:r>
        <w:rPr>
          <w:sz w:val="24"/>
          <w:szCs w:val="24"/>
          <w:lang w:val="en-GB"/>
        </w:rPr>
        <w:t>Yours faithfully,</w:t>
      </w:r>
    </w:p>
    <w:p w14:paraId="14EDBAFD" w14:textId="77777777" w:rsidR="00463576" w:rsidRDefault="00463576" w:rsidP="00463576">
      <w:pPr>
        <w:rPr>
          <w:sz w:val="24"/>
          <w:szCs w:val="24"/>
          <w:lang w:val="en-GB"/>
        </w:rPr>
      </w:pPr>
    </w:p>
    <w:p w14:paraId="7F2B2F62" w14:textId="77777777" w:rsidR="00463576" w:rsidRDefault="00463576" w:rsidP="00463576">
      <w:pPr>
        <w:rPr>
          <w:sz w:val="24"/>
          <w:szCs w:val="24"/>
          <w:lang w:val="en-GB"/>
        </w:rPr>
      </w:pPr>
      <w:r>
        <w:rPr>
          <w:sz w:val="24"/>
          <w:szCs w:val="24"/>
          <w:lang w:val="en-GB"/>
        </w:rPr>
        <w:t xml:space="preserve">M.C. </w:t>
      </w:r>
    </w:p>
    <w:p w14:paraId="36C5BAA3" w14:textId="77777777" w:rsidR="00463576" w:rsidRDefault="00463576" w:rsidP="00463576">
      <w:pPr>
        <w:rPr>
          <w:sz w:val="24"/>
          <w:szCs w:val="24"/>
          <w:lang w:val="en-GB"/>
        </w:rPr>
      </w:pPr>
      <w:r>
        <w:rPr>
          <w:sz w:val="24"/>
          <w:szCs w:val="24"/>
          <w:lang w:val="en-GB"/>
        </w:rPr>
        <w:t>________________</w:t>
      </w:r>
    </w:p>
    <w:p w14:paraId="5A95D8C1" w14:textId="77777777" w:rsidR="00463576" w:rsidRDefault="00463576" w:rsidP="00463576">
      <w:pPr>
        <w:rPr>
          <w:sz w:val="24"/>
          <w:szCs w:val="24"/>
          <w:lang w:val="en-GB"/>
        </w:rPr>
      </w:pPr>
      <w:r>
        <w:rPr>
          <w:i/>
          <w:sz w:val="24"/>
          <w:szCs w:val="24"/>
          <w:lang w:val="en-GB"/>
        </w:rPr>
        <w:t>for</w:t>
      </w:r>
      <w:r>
        <w:rPr>
          <w:sz w:val="24"/>
          <w:szCs w:val="24"/>
          <w:lang w:val="en-GB"/>
        </w:rPr>
        <w:t xml:space="preserve"> </w:t>
      </w:r>
      <w:r>
        <w:rPr>
          <w:b/>
          <w:sz w:val="24"/>
          <w:szCs w:val="24"/>
          <w:lang w:val="en-GB"/>
        </w:rPr>
        <w:t>Senior Planner</w:t>
      </w:r>
    </w:p>
    <w:p w14:paraId="41A94046" w14:textId="77777777" w:rsidR="00463576" w:rsidRDefault="00463576" w:rsidP="00463576">
      <w:pPr>
        <w:rPr>
          <w:sz w:val="24"/>
          <w:szCs w:val="24"/>
          <w:lang w:val="en-GB"/>
        </w:rPr>
      </w:pPr>
    </w:p>
    <w:p w14:paraId="1513A74E" w14:textId="77777777" w:rsidR="00463576" w:rsidRDefault="00463576" w:rsidP="00463576">
      <w:pPr>
        <w:rPr>
          <w:sz w:val="24"/>
          <w:szCs w:val="24"/>
        </w:rPr>
      </w:pPr>
    </w:p>
    <w:p w14:paraId="2E062810" w14:textId="77777777" w:rsidR="00463576" w:rsidRDefault="00463576" w:rsidP="00463576">
      <w:pPr>
        <w:rPr>
          <w:sz w:val="24"/>
          <w:szCs w:val="24"/>
        </w:rPr>
      </w:pPr>
    </w:p>
    <w:p w14:paraId="3D3BC7A7" w14:textId="77777777" w:rsidR="00463576" w:rsidRDefault="00463576" w:rsidP="00463576">
      <w:pPr>
        <w:rPr>
          <w:sz w:val="24"/>
          <w:szCs w:val="24"/>
        </w:rPr>
      </w:pPr>
    </w:p>
    <w:p w14:paraId="39672357" w14:textId="77777777" w:rsidR="00463576" w:rsidRDefault="00463576" w:rsidP="00463576">
      <w:pPr>
        <w:rPr>
          <w:sz w:val="24"/>
          <w:szCs w:val="24"/>
        </w:rPr>
      </w:pPr>
    </w:p>
    <w:p w14:paraId="44C399FF" w14:textId="77777777" w:rsidR="00463576" w:rsidRDefault="00463576" w:rsidP="00463576">
      <w:pPr>
        <w:rPr>
          <w:sz w:val="24"/>
          <w:szCs w:val="24"/>
        </w:rPr>
      </w:pPr>
    </w:p>
    <w:p w14:paraId="1EF799DD" w14:textId="77777777" w:rsidR="00463576" w:rsidRDefault="00463576" w:rsidP="00463576">
      <w:pPr>
        <w:rPr>
          <w:sz w:val="24"/>
          <w:szCs w:val="24"/>
        </w:rPr>
      </w:pPr>
    </w:p>
    <w:p w14:paraId="1BD67F0A" w14:textId="77777777" w:rsidR="00463576" w:rsidRDefault="00463576" w:rsidP="00463576">
      <w:pPr>
        <w:rPr>
          <w:sz w:val="24"/>
          <w:szCs w:val="24"/>
        </w:rPr>
      </w:pPr>
    </w:p>
    <w:p w14:paraId="0ED46E9D" w14:textId="77777777" w:rsidR="00463576" w:rsidRDefault="00463576" w:rsidP="00463576">
      <w:pPr>
        <w:rPr>
          <w:sz w:val="24"/>
          <w:szCs w:val="24"/>
        </w:rPr>
      </w:pPr>
    </w:p>
    <w:p w14:paraId="06A4378F" w14:textId="77777777" w:rsidR="00463576" w:rsidRDefault="00463576" w:rsidP="00463576">
      <w:pPr>
        <w:rPr>
          <w:sz w:val="24"/>
          <w:szCs w:val="24"/>
        </w:rPr>
        <w:sectPr w:rsidR="00463576">
          <w:pgSz w:w="11908" w:h="16833"/>
          <w:pgMar w:top="2353" w:right="1276" w:bottom="1134" w:left="1418" w:header="238" w:footer="720" w:gutter="0"/>
          <w:pgNumType w:start="1"/>
          <w:cols w:space="720"/>
        </w:sectPr>
      </w:pPr>
    </w:p>
    <w:p w14:paraId="64F4171A" w14:textId="77777777" w:rsidR="00463576" w:rsidRDefault="00463576" w:rsidP="00463576">
      <w:pPr>
        <w:rPr>
          <w:sz w:val="24"/>
          <w:szCs w:val="24"/>
        </w:rPr>
      </w:pPr>
    </w:p>
    <w:p w14:paraId="16C42B77" w14:textId="77777777" w:rsidR="00F52854" w:rsidRDefault="002563FF"/>
    <w:sectPr w:rsidR="00F5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43D35"/>
    <w:multiLevelType w:val="hybridMultilevel"/>
    <w:tmpl w:val="CA500432"/>
    <w:lvl w:ilvl="0" w:tplc="A0324434">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86255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76"/>
    <w:rsid w:val="00001BEA"/>
    <w:rsid w:val="00025E73"/>
    <w:rsid w:val="002563FF"/>
    <w:rsid w:val="00321B6A"/>
    <w:rsid w:val="00463576"/>
    <w:rsid w:val="008D24B5"/>
    <w:rsid w:val="00A645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6928"/>
  <w15:chartTrackingRefBased/>
  <w15:docId w15:val="{61DDF5DB-04BA-4740-A14D-6F8661C2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7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644">
      <w:bodyDiv w:val="1"/>
      <w:marLeft w:val="0"/>
      <w:marRight w:val="0"/>
      <w:marTop w:val="0"/>
      <w:marBottom w:val="0"/>
      <w:divBdr>
        <w:top w:val="none" w:sz="0" w:space="0" w:color="auto"/>
        <w:left w:val="none" w:sz="0" w:space="0" w:color="auto"/>
        <w:bottom w:val="none" w:sz="0" w:space="0" w:color="auto"/>
        <w:right w:val="none" w:sz="0" w:space="0" w:color="auto"/>
      </w:divBdr>
    </w:div>
    <w:div w:id="5797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Crehan</dc:creator>
  <cp:keywords/>
  <dc:description/>
  <cp:lastModifiedBy>Margaret Crehan</cp:lastModifiedBy>
  <cp:revision>5</cp:revision>
  <cp:lastPrinted>2022-09-20T14:20:00Z</cp:lastPrinted>
  <dcterms:created xsi:type="dcterms:W3CDTF">2022-09-20T14:16:00Z</dcterms:created>
  <dcterms:modified xsi:type="dcterms:W3CDTF">2022-09-20T14:25:00Z</dcterms:modified>
</cp:coreProperties>
</file>